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5D485" w14:textId="77777777" w:rsidR="007733FB" w:rsidRPr="005D218F" w:rsidRDefault="001F1E24" w:rsidP="007733FB">
      <w:pPr>
        <w:ind w:left="3600" w:firstLine="720"/>
        <w:jc w:val="right"/>
        <w:rPr>
          <w:rFonts w:ascii="Garamond" w:hAnsi="Garamond"/>
          <w:sz w:val="24"/>
          <w:lang w:val="sk-SK"/>
        </w:rPr>
      </w:pPr>
      <w:bookmarkStart w:id="0" w:name="_Hlk14968177"/>
      <w:bookmarkEnd w:id="0"/>
      <w:r w:rsidRPr="005D218F">
        <w:rPr>
          <w:rFonts w:ascii="Garamond" w:hAnsi="Garamond"/>
          <w:noProof/>
          <w:sz w:val="24"/>
          <w:lang w:val="sk-SK" w:eastAsia="sk-SK"/>
        </w:rPr>
        <w:drawing>
          <wp:inline distT="0" distB="0" distL="0" distR="0" wp14:anchorId="57E2B761" wp14:editId="2FA1F59B">
            <wp:extent cx="1981200" cy="723900"/>
            <wp:effectExtent l="0" t="0" r="0" b="0"/>
            <wp:docPr id="2" name="Picture 2"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723900"/>
                    </a:xfrm>
                    <a:prstGeom prst="rect">
                      <a:avLst/>
                    </a:prstGeom>
                    <a:noFill/>
                    <a:ln>
                      <a:noFill/>
                    </a:ln>
                  </pic:spPr>
                </pic:pic>
              </a:graphicData>
            </a:graphic>
          </wp:inline>
        </w:drawing>
      </w:r>
    </w:p>
    <w:p w14:paraId="7246CB2E" w14:textId="77777777" w:rsidR="00F520DB" w:rsidRPr="005D218F" w:rsidRDefault="00F520DB" w:rsidP="007733FB">
      <w:pPr>
        <w:ind w:left="3600" w:firstLine="720"/>
        <w:jc w:val="right"/>
        <w:rPr>
          <w:rFonts w:ascii="Arial" w:hAnsi="Arial" w:cs="Arial"/>
          <w:b/>
          <w:lang w:val="sk-SK"/>
        </w:rPr>
      </w:pPr>
    </w:p>
    <w:p w14:paraId="20ED8DE3" w14:textId="77777777" w:rsidR="007733FB" w:rsidRPr="005D218F" w:rsidRDefault="00C749CD" w:rsidP="007733FB">
      <w:pPr>
        <w:rPr>
          <w:rFonts w:ascii="Arial" w:hAnsi="Arial" w:cs="Arial"/>
          <w:b/>
          <w:sz w:val="24"/>
          <w:szCs w:val="24"/>
          <w:lang w:val="sk-SK"/>
        </w:rPr>
      </w:pPr>
      <w:r w:rsidRPr="005D218F">
        <w:rPr>
          <w:rFonts w:ascii="Arial" w:hAnsi="Arial" w:cs="Arial"/>
          <w:b/>
          <w:sz w:val="24"/>
          <w:szCs w:val="24"/>
          <w:lang w:val="sk-SK"/>
        </w:rPr>
        <w:t>Tlačová správa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7733FB" w:rsidRPr="005D218F" w14:paraId="1917FE5E" w14:textId="77777777" w:rsidTr="00E8466A">
        <w:trPr>
          <w:trHeight w:val="848"/>
        </w:trPr>
        <w:tc>
          <w:tcPr>
            <w:tcW w:w="10215" w:type="dxa"/>
            <w:shd w:val="clear" w:color="auto" w:fill="auto"/>
          </w:tcPr>
          <w:p w14:paraId="5468FFC7" w14:textId="77777777" w:rsidR="00F520DB" w:rsidRPr="005D218F" w:rsidRDefault="00F520DB" w:rsidP="00E8466A">
            <w:pPr>
              <w:pStyle w:val="Header"/>
              <w:jc w:val="right"/>
              <w:rPr>
                <w:rFonts w:ascii="Arial" w:hAnsi="Arial" w:cs="Arial"/>
                <w:sz w:val="18"/>
                <w:szCs w:val="18"/>
                <w:lang w:val="sk-SK"/>
              </w:rPr>
            </w:pPr>
          </w:p>
          <w:p w14:paraId="0E3C2A0C" w14:textId="7D5A4283" w:rsidR="00E47F79" w:rsidRPr="005D218F" w:rsidRDefault="00E47F79" w:rsidP="00E47F79">
            <w:pPr>
              <w:pStyle w:val="Header"/>
              <w:ind w:left="-630"/>
              <w:jc w:val="right"/>
              <w:rPr>
                <w:rFonts w:ascii="Arial" w:hAnsi="Arial" w:cs="Arial"/>
                <w:sz w:val="18"/>
                <w:szCs w:val="18"/>
                <w:lang w:val="sk-SK"/>
              </w:rPr>
            </w:pPr>
            <w:r w:rsidRPr="005D218F">
              <w:rPr>
                <w:rFonts w:ascii="Arial" w:hAnsi="Arial" w:cs="Arial"/>
                <w:sz w:val="18"/>
                <w:szCs w:val="18"/>
                <w:lang w:val="sk-SK"/>
              </w:rPr>
              <w:t>CBRE: +421 232 553</w:t>
            </w:r>
            <w:r>
              <w:rPr>
                <w:rFonts w:ascii="Arial" w:hAnsi="Arial" w:cs="Arial"/>
                <w:sz w:val="18"/>
                <w:szCs w:val="18"/>
                <w:lang w:val="sk-SK"/>
              </w:rPr>
              <w:t> </w:t>
            </w:r>
            <w:r w:rsidRPr="005D218F">
              <w:rPr>
                <w:rFonts w:ascii="Arial" w:hAnsi="Arial" w:cs="Arial"/>
                <w:sz w:val="18"/>
                <w:szCs w:val="18"/>
                <w:lang w:val="sk-SK"/>
              </w:rPr>
              <w:t>3</w:t>
            </w:r>
            <w:r>
              <w:rPr>
                <w:rFonts w:ascii="Arial" w:hAnsi="Arial" w:cs="Arial"/>
                <w:sz w:val="18"/>
                <w:szCs w:val="18"/>
                <w:lang w:val="sk-SK"/>
              </w:rPr>
              <w:t>00</w:t>
            </w:r>
          </w:p>
          <w:p w14:paraId="5B29459D" w14:textId="75754EFD" w:rsidR="005D666E" w:rsidRPr="005D218F" w:rsidRDefault="005D666E" w:rsidP="00E8466A">
            <w:pPr>
              <w:pStyle w:val="Header"/>
              <w:jc w:val="right"/>
              <w:rPr>
                <w:rFonts w:ascii="Arial" w:hAnsi="Arial" w:cs="Arial"/>
                <w:sz w:val="18"/>
                <w:szCs w:val="18"/>
                <w:lang w:val="sk-SK"/>
              </w:rPr>
            </w:pPr>
            <w:proofErr w:type="spellStart"/>
            <w:r w:rsidRPr="005D218F">
              <w:rPr>
                <w:rFonts w:ascii="Arial" w:hAnsi="Arial" w:cs="Arial"/>
                <w:sz w:val="18"/>
                <w:szCs w:val="18"/>
                <w:lang w:val="sk-SK"/>
              </w:rPr>
              <w:t>Cushman</w:t>
            </w:r>
            <w:proofErr w:type="spellEnd"/>
            <w:r w:rsidRPr="005D218F">
              <w:rPr>
                <w:rFonts w:ascii="Arial" w:hAnsi="Arial" w:cs="Arial"/>
                <w:sz w:val="18"/>
                <w:szCs w:val="18"/>
                <w:lang w:val="sk-SK"/>
              </w:rPr>
              <w:t xml:space="preserve"> &amp; </w:t>
            </w:r>
            <w:proofErr w:type="spellStart"/>
            <w:r w:rsidRPr="005D218F">
              <w:rPr>
                <w:rFonts w:ascii="Arial" w:hAnsi="Arial" w:cs="Arial"/>
                <w:sz w:val="18"/>
                <w:szCs w:val="18"/>
                <w:lang w:val="sk-SK"/>
              </w:rPr>
              <w:t>Wakefield</w:t>
            </w:r>
            <w:proofErr w:type="spellEnd"/>
            <w:r w:rsidRPr="005D218F">
              <w:rPr>
                <w:rFonts w:ascii="Arial" w:hAnsi="Arial" w:cs="Arial"/>
                <w:sz w:val="18"/>
                <w:szCs w:val="18"/>
                <w:lang w:val="sk-SK"/>
              </w:rPr>
              <w:t>: +42</w:t>
            </w:r>
            <w:r w:rsidR="00160FAA" w:rsidRPr="005D218F">
              <w:rPr>
                <w:rFonts w:ascii="Arial" w:hAnsi="Arial" w:cs="Arial"/>
                <w:sz w:val="18"/>
                <w:szCs w:val="18"/>
                <w:lang w:val="sk-SK"/>
              </w:rPr>
              <w:t>1 259 209 33</w:t>
            </w:r>
            <w:r w:rsidRPr="005D218F">
              <w:rPr>
                <w:rFonts w:ascii="Arial" w:hAnsi="Arial" w:cs="Arial"/>
                <w:sz w:val="18"/>
                <w:szCs w:val="18"/>
                <w:lang w:val="sk-SK"/>
              </w:rPr>
              <w:t>3</w:t>
            </w:r>
          </w:p>
          <w:p w14:paraId="681F4074" w14:textId="77777777" w:rsidR="004540D0" w:rsidRPr="005D218F" w:rsidRDefault="00160FAA" w:rsidP="00E8466A">
            <w:pPr>
              <w:pStyle w:val="Header"/>
              <w:jc w:val="right"/>
              <w:rPr>
                <w:rFonts w:ascii="Arial" w:hAnsi="Arial" w:cs="Arial"/>
                <w:sz w:val="18"/>
                <w:szCs w:val="18"/>
                <w:lang w:val="sk-SK"/>
              </w:rPr>
            </w:pPr>
            <w:proofErr w:type="spellStart"/>
            <w:r w:rsidRPr="005D218F">
              <w:rPr>
                <w:rFonts w:ascii="Arial" w:hAnsi="Arial" w:cs="Arial"/>
                <w:sz w:val="18"/>
                <w:szCs w:val="18"/>
                <w:lang w:val="sk-SK"/>
              </w:rPr>
              <w:t>Colliers</w:t>
            </w:r>
            <w:proofErr w:type="spellEnd"/>
            <w:r w:rsidRPr="005D218F">
              <w:rPr>
                <w:rFonts w:ascii="Arial" w:hAnsi="Arial" w:cs="Arial"/>
                <w:sz w:val="18"/>
                <w:szCs w:val="18"/>
                <w:lang w:val="sk-SK"/>
              </w:rPr>
              <w:t xml:space="preserve"> International: +421 259</w:t>
            </w:r>
            <w:r w:rsidR="007733FB" w:rsidRPr="005D218F">
              <w:rPr>
                <w:rFonts w:ascii="Arial" w:hAnsi="Arial" w:cs="Arial"/>
                <w:sz w:val="18"/>
                <w:szCs w:val="18"/>
                <w:lang w:val="sk-SK"/>
              </w:rPr>
              <w:t> </w:t>
            </w:r>
            <w:r w:rsidRPr="005D218F">
              <w:rPr>
                <w:rFonts w:ascii="Arial" w:hAnsi="Arial" w:cs="Arial"/>
                <w:sz w:val="18"/>
                <w:szCs w:val="18"/>
                <w:lang w:val="sk-SK"/>
              </w:rPr>
              <w:t>980</w:t>
            </w:r>
            <w:r w:rsidR="004540D0" w:rsidRPr="005D218F">
              <w:rPr>
                <w:rFonts w:ascii="Arial" w:hAnsi="Arial" w:cs="Arial"/>
                <w:sz w:val="18"/>
                <w:szCs w:val="18"/>
                <w:lang w:val="sk-SK"/>
              </w:rPr>
              <w:t> </w:t>
            </w:r>
            <w:r w:rsidRPr="005D218F">
              <w:rPr>
                <w:rFonts w:ascii="Arial" w:hAnsi="Arial" w:cs="Arial"/>
                <w:sz w:val="18"/>
                <w:szCs w:val="18"/>
                <w:lang w:val="sk-SK"/>
              </w:rPr>
              <w:t>980</w:t>
            </w:r>
          </w:p>
          <w:p w14:paraId="11F88D84" w14:textId="77777777" w:rsidR="007733FB" w:rsidRPr="005D218F" w:rsidRDefault="00F23D1D" w:rsidP="00E8466A">
            <w:pPr>
              <w:pStyle w:val="Header"/>
              <w:jc w:val="right"/>
              <w:rPr>
                <w:rFonts w:ascii="Arial" w:hAnsi="Arial" w:cs="Arial"/>
                <w:sz w:val="18"/>
                <w:szCs w:val="18"/>
                <w:lang w:val="sk-SK"/>
              </w:rPr>
            </w:pPr>
            <w:r w:rsidRPr="005D218F">
              <w:rPr>
                <w:rFonts w:ascii="Arial" w:hAnsi="Arial" w:cs="Arial"/>
                <w:sz w:val="18"/>
                <w:szCs w:val="18"/>
                <w:lang w:val="sk-SK"/>
              </w:rPr>
              <w:t>JLL</w:t>
            </w:r>
            <w:r w:rsidR="004540D0" w:rsidRPr="005D218F">
              <w:rPr>
                <w:rFonts w:ascii="Arial" w:hAnsi="Arial" w:cs="Arial"/>
                <w:sz w:val="18"/>
                <w:szCs w:val="18"/>
                <w:lang w:val="sk-SK"/>
              </w:rPr>
              <w:t>: +421 259 209 931</w:t>
            </w:r>
            <w:r w:rsidR="007733FB" w:rsidRPr="005D218F">
              <w:rPr>
                <w:rFonts w:ascii="Arial" w:hAnsi="Arial" w:cs="Arial"/>
                <w:sz w:val="18"/>
                <w:szCs w:val="18"/>
                <w:lang w:val="sk-SK"/>
              </w:rPr>
              <w:t xml:space="preserve">            </w:t>
            </w:r>
          </w:p>
          <w:p w14:paraId="0759BF99" w14:textId="77777777" w:rsidR="007733FB" w:rsidRPr="005D218F" w:rsidRDefault="007733FB" w:rsidP="00E8466A">
            <w:pPr>
              <w:pStyle w:val="Header"/>
              <w:jc w:val="right"/>
              <w:rPr>
                <w:rFonts w:ascii="Arial" w:hAnsi="Arial" w:cs="Arial"/>
                <w:sz w:val="18"/>
                <w:szCs w:val="18"/>
                <w:lang w:val="sk-SK"/>
              </w:rPr>
            </w:pPr>
          </w:p>
        </w:tc>
      </w:tr>
    </w:tbl>
    <w:p w14:paraId="48860EF3" w14:textId="77777777" w:rsidR="007733FB" w:rsidRPr="005D48BA" w:rsidRDefault="007733FB" w:rsidP="005D48BA">
      <w:bookmarkStart w:id="1" w:name="OLE_LINK3"/>
      <w:bookmarkStart w:id="2" w:name="OLE_LINK4"/>
    </w:p>
    <w:p w14:paraId="59F85FF6" w14:textId="5E855343" w:rsidR="007733FB" w:rsidRPr="00574CAA" w:rsidRDefault="00A21AAB" w:rsidP="00407FBC">
      <w:pPr>
        <w:jc w:val="both"/>
        <w:rPr>
          <w:rFonts w:ascii="Arial" w:hAnsi="Arial" w:cs="Arial"/>
          <w:lang w:val="sk-SK"/>
        </w:rPr>
      </w:pPr>
      <w:r>
        <w:rPr>
          <w:rFonts w:ascii="Arial" w:hAnsi="Arial" w:cs="Arial"/>
          <w:lang w:val="sk-SK"/>
        </w:rPr>
        <w:t>2</w:t>
      </w:r>
      <w:r w:rsidR="00224736">
        <w:rPr>
          <w:rFonts w:ascii="Arial" w:hAnsi="Arial" w:cs="Arial"/>
          <w:lang w:val="sk-SK"/>
        </w:rPr>
        <w:t>1</w:t>
      </w:r>
      <w:r w:rsidR="00407FBC" w:rsidRPr="00574CAA">
        <w:rPr>
          <w:rFonts w:ascii="Arial" w:hAnsi="Arial" w:cs="Arial"/>
          <w:lang w:val="sk-SK"/>
        </w:rPr>
        <w:t xml:space="preserve">. </w:t>
      </w:r>
      <w:r w:rsidR="00A60C96">
        <w:rPr>
          <w:rFonts w:ascii="Arial" w:hAnsi="Arial" w:cs="Arial"/>
          <w:lang w:val="sk-SK"/>
        </w:rPr>
        <w:t>október</w:t>
      </w:r>
      <w:r w:rsidR="00B60907" w:rsidRPr="00574CAA">
        <w:rPr>
          <w:rFonts w:ascii="Arial" w:hAnsi="Arial" w:cs="Arial"/>
          <w:lang w:val="sk-SK"/>
        </w:rPr>
        <w:t xml:space="preserve"> </w:t>
      </w:r>
      <w:r w:rsidR="005D48BA" w:rsidRPr="00574CAA">
        <w:rPr>
          <w:rFonts w:ascii="Arial" w:hAnsi="Arial" w:cs="Arial"/>
          <w:lang w:val="sk-SK"/>
        </w:rPr>
        <w:t>20</w:t>
      </w:r>
      <w:r w:rsidR="00FB0BA7">
        <w:rPr>
          <w:rFonts w:ascii="Arial" w:hAnsi="Arial" w:cs="Arial"/>
          <w:lang w:val="sk-SK"/>
        </w:rPr>
        <w:t>2</w:t>
      </w:r>
      <w:r w:rsidR="00CE2F72">
        <w:rPr>
          <w:rFonts w:ascii="Arial" w:hAnsi="Arial" w:cs="Arial"/>
          <w:lang w:val="sk-SK"/>
        </w:rPr>
        <w:t>1</w:t>
      </w:r>
      <w:r w:rsidR="00BB0E42" w:rsidRPr="00574CAA">
        <w:rPr>
          <w:rFonts w:ascii="Arial" w:hAnsi="Arial" w:cs="Arial"/>
          <w:lang w:val="sk-SK"/>
        </w:rPr>
        <w:t xml:space="preserve">, </w:t>
      </w:r>
      <w:r w:rsidR="005D666E" w:rsidRPr="00574CAA">
        <w:rPr>
          <w:rFonts w:ascii="Arial" w:hAnsi="Arial" w:cs="Arial"/>
          <w:lang w:val="sk-SK"/>
        </w:rPr>
        <w:t>Bratislava</w:t>
      </w:r>
    </w:p>
    <w:p w14:paraId="2886387C" w14:textId="77777777" w:rsidR="007733FB" w:rsidRPr="00FD0096" w:rsidRDefault="007733FB" w:rsidP="007733FB">
      <w:pPr>
        <w:jc w:val="both"/>
        <w:rPr>
          <w:rFonts w:ascii="Arial" w:hAnsi="Arial" w:cs="Arial"/>
          <w:b/>
          <w:sz w:val="22"/>
          <w:szCs w:val="22"/>
          <w:lang w:val="sk-SK"/>
        </w:rPr>
      </w:pPr>
    </w:p>
    <w:p w14:paraId="4031B7E7" w14:textId="77777777" w:rsidR="00950E0C" w:rsidRPr="00FD0096" w:rsidRDefault="005D666E" w:rsidP="00542390">
      <w:pPr>
        <w:jc w:val="center"/>
        <w:outlineLvl w:val="0"/>
        <w:rPr>
          <w:rFonts w:ascii="Arial" w:hAnsi="Arial" w:cs="Arial"/>
          <w:b/>
          <w:sz w:val="22"/>
          <w:szCs w:val="22"/>
          <w:lang w:val="sk-SK"/>
        </w:rPr>
      </w:pPr>
      <w:r w:rsidRPr="00FD0096">
        <w:rPr>
          <w:rFonts w:ascii="Arial" w:hAnsi="Arial" w:cs="Arial"/>
          <w:b/>
          <w:sz w:val="22"/>
          <w:szCs w:val="22"/>
          <w:lang w:val="sk-SK"/>
        </w:rPr>
        <w:t>Bratislava</w:t>
      </w:r>
      <w:r w:rsidR="007733FB" w:rsidRPr="00FD0096">
        <w:rPr>
          <w:rFonts w:ascii="Arial" w:hAnsi="Arial" w:cs="Arial"/>
          <w:b/>
          <w:sz w:val="22"/>
          <w:szCs w:val="22"/>
          <w:lang w:val="sk-SK"/>
        </w:rPr>
        <w:t xml:space="preserve"> </w:t>
      </w:r>
      <w:proofErr w:type="spellStart"/>
      <w:r w:rsidR="007733FB" w:rsidRPr="00FD0096">
        <w:rPr>
          <w:rFonts w:ascii="Arial" w:hAnsi="Arial" w:cs="Arial"/>
          <w:b/>
          <w:sz w:val="22"/>
          <w:szCs w:val="22"/>
          <w:lang w:val="sk-SK"/>
        </w:rPr>
        <w:t>Research</w:t>
      </w:r>
      <w:proofErr w:type="spellEnd"/>
      <w:r w:rsidR="007733FB" w:rsidRPr="00FD0096">
        <w:rPr>
          <w:rFonts w:ascii="Arial" w:hAnsi="Arial" w:cs="Arial"/>
          <w:b/>
          <w:sz w:val="22"/>
          <w:szCs w:val="22"/>
          <w:lang w:val="sk-SK"/>
        </w:rPr>
        <w:t xml:space="preserve"> </w:t>
      </w:r>
      <w:proofErr w:type="spellStart"/>
      <w:r w:rsidR="007733FB" w:rsidRPr="00FD0096">
        <w:rPr>
          <w:rFonts w:ascii="Arial" w:hAnsi="Arial" w:cs="Arial"/>
          <w:b/>
          <w:sz w:val="22"/>
          <w:szCs w:val="22"/>
          <w:lang w:val="sk-SK"/>
        </w:rPr>
        <w:t>Forum</w:t>
      </w:r>
      <w:proofErr w:type="spellEnd"/>
      <w:r w:rsidR="007733FB" w:rsidRPr="00FD0096">
        <w:rPr>
          <w:rFonts w:ascii="Arial" w:hAnsi="Arial" w:cs="Arial"/>
          <w:b/>
          <w:sz w:val="22"/>
          <w:szCs w:val="22"/>
          <w:lang w:val="sk-SK"/>
        </w:rPr>
        <w:t xml:space="preserve"> </w:t>
      </w:r>
      <w:r w:rsidR="009758C7" w:rsidRPr="00FD0096">
        <w:rPr>
          <w:rFonts w:ascii="Arial" w:hAnsi="Arial" w:cs="Arial"/>
          <w:b/>
          <w:sz w:val="22"/>
          <w:szCs w:val="22"/>
          <w:lang w:val="sk-SK"/>
        </w:rPr>
        <w:t>z</w:t>
      </w:r>
      <w:r w:rsidR="00C749CD" w:rsidRPr="00FD0096">
        <w:rPr>
          <w:rFonts w:ascii="Arial" w:hAnsi="Arial" w:cs="Arial"/>
          <w:b/>
          <w:sz w:val="22"/>
          <w:szCs w:val="22"/>
          <w:lang w:val="sk-SK"/>
        </w:rPr>
        <w:t>verejňuje svoje výsledky</w:t>
      </w:r>
    </w:p>
    <w:p w14:paraId="4E68DE00" w14:textId="6C1930DB" w:rsidR="00C749CD" w:rsidRPr="00FD0096" w:rsidRDefault="00C749CD" w:rsidP="00542390">
      <w:pPr>
        <w:jc w:val="center"/>
        <w:outlineLvl w:val="0"/>
        <w:rPr>
          <w:rFonts w:ascii="Arial" w:hAnsi="Arial" w:cs="Arial"/>
          <w:b/>
          <w:sz w:val="22"/>
          <w:szCs w:val="22"/>
          <w:lang w:val="sk-SK"/>
        </w:rPr>
      </w:pPr>
      <w:r w:rsidRPr="00FD0096">
        <w:rPr>
          <w:rFonts w:ascii="Arial" w:hAnsi="Arial" w:cs="Arial"/>
          <w:b/>
          <w:sz w:val="22"/>
          <w:szCs w:val="22"/>
          <w:lang w:val="sk-SK"/>
        </w:rPr>
        <w:t xml:space="preserve">trhu kancelárskych priestorov za </w:t>
      </w:r>
      <w:r w:rsidR="00A60C96">
        <w:rPr>
          <w:rFonts w:ascii="Arial" w:hAnsi="Arial" w:cs="Arial"/>
          <w:b/>
          <w:sz w:val="22"/>
          <w:szCs w:val="22"/>
          <w:lang w:val="sk-SK"/>
        </w:rPr>
        <w:t>3</w:t>
      </w:r>
      <w:r w:rsidR="00220615" w:rsidRPr="00FD0096">
        <w:rPr>
          <w:rFonts w:ascii="Arial" w:hAnsi="Arial" w:cs="Arial"/>
          <w:b/>
          <w:sz w:val="22"/>
          <w:szCs w:val="22"/>
          <w:lang w:val="sk-SK"/>
        </w:rPr>
        <w:t xml:space="preserve">. </w:t>
      </w:r>
      <w:r w:rsidR="00C15157">
        <w:rPr>
          <w:rFonts w:ascii="Arial" w:hAnsi="Arial" w:cs="Arial"/>
          <w:b/>
          <w:sz w:val="22"/>
          <w:szCs w:val="22"/>
          <w:lang w:val="sk-SK"/>
        </w:rPr>
        <w:t>štvrťrok</w:t>
      </w:r>
      <w:r w:rsidR="00220615" w:rsidRPr="00FD0096">
        <w:rPr>
          <w:rFonts w:ascii="Arial" w:hAnsi="Arial" w:cs="Arial"/>
          <w:b/>
          <w:sz w:val="22"/>
          <w:szCs w:val="22"/>
          <w:lang w:val="sk-SK"/>
        </w:rPr>
        <w:t xml:space="preserve"> 20</w:t>
      </w:r>
      <w:r w:rsidR="00D95FB3" w:rsidRPr="00FD0096">
        <w:rPr>
          <w:rFonts w:ascii="Arial" w:hAnsi="Arial" w:cs="Arial"/>
          <w:b/>
          <w:sz w:val="22"/>
          <w:szCs w:val="22"/>
          <w:lang w:val="sk-SK"/>
        </w:rPr>
        <w:t>2</w:t>
      </w:r>
      <w:r w:rsidR="0016483F">
        <w:rPr>
          <w:rFonts w:ascii="Arial" w:hAnsi="Arial" w:cs="Arial"/>
          <w:b/>
          <w:sz w:val="22"/>
          <w:szCs w:val="22"/>
          <w:lang w:val="sk-SK"/>
        </w:rPr>
        <w:t>1</w:t>
      </w:r>
    </w:p>
    <w:p w14:paraId="281991F9" w14:textId="2F09F1D5" w:rsidR="00C749CD" w:rsidRDefault="00C749CD" w:rsidP="00710C2A">
      <w:pPr>
        <w:jc w:val="both"/>
        <w:outlineLvl w:val="0"/>
        <w:rPr>
          <w:rFonts w:ascii="Arial" w:hAnsi="Arial" w:cs="Arial"/>
          <w:b/>
          <w:sz w:val="24"/>
          <w:szCs w:val="24"/>
          <w:lang w:val="sk-SK"/>
        </w:rPr>
      </w:pPr>
    </w:p>
    <w:p w14:paraId="2B8F525F" w14:textId="77777777" w:rsidR="00FD0096" w:rsidRPr="00574CAA" w:rsidRDefault="00FD0096" w:rsidP="00710C2A">
      <w:pPr>
        <w:jc w:val="both"/>
        <w:outlineLvl w:val="0"/>
        <w:rPr>
          <w:rFonts w:ascii="Arial" w:hAnsi="Arial" w:cs="Arial"/>
          <w:b/>
          <w:sz w:val="24"/>
          <w:szCs w:val="24"/>
          <w:lang w:val="sk-SK"/>
        </w:rPr>
      </w:pPr>
    </w:p>
    <w:bookmarkEnd w:id="1"/>
    <w:bookmarkEnd w:id="2"/>
    <w:p w14:paraId="7834C138" w14:textId="1EC2A8D5" w:rsidR="006442BE" w:rsidRPr="00F12436" w:rsidRDefault="003A7575" w:rsidP="00D2293D">
      <w:pPr>
        <w:jc w:val="both"/>
        <w:rPr>
          <w:rFonts w:ascii="Arial" w:hAnsi="Arial" w:cs="Arial"/>
          <w:b/>
          <w:sz w:val="18"/>
          <w:szCs w:val="18"/>
          <w:lang w:val="sk-SK"/>
        </w:rPr>
      </w:pPr>
      <w:r w:rsidRPr="00F12436">
        <w:rPr>
          <w:rFonts w:ascii="Arial" w:hAnsi="Arial" w:cs="Arial"/>
          <w:b/>
          <w:sz w:val="18"/>
          <w:szCs w:val="18"/>
          <w:lang w:val="sk-SK"/>
        </w:rPr>
        <w:t>V</w:t>
      </w:r>
      <w:r w:rsidR="00CB01A6">
        <w:rPr>
          <w:rFonts w:ascii="Arial" w:hAnsi="Arial" w:cs="Arial"/>
          <w:b/>
          <w:sz w:val="18"/>
          <w:szCs w:val="18"/>
          <w:lang w:val="sk-SK"/>
        </w:rPr>
        <w:t xml:space="preserve"> </w:t>
      </w:r>
      <w:r w:rsidR="00A60C96">
        <w:rPr>
          <w:rFonts w:ascii="Arial" w:hAnsi="Arial" w:cs="Arial"/>
          <w:b/>
          <w:sz w:val="18"/>
          <w:szCs w:val="18"/>
          <w:lang w:val="sk-SK"/>
        </w:rPr>
        <w:t>treťom</w:t>
      </w:r>
      <w:r w:rsidRPr="00F12436">
        <w:rPr>
          <w:rFonts w:ascii="Arial" w:hAnsi="Arial" w:cs="Arial"/>
          <w:b/>
          <w:sz w:val="18"/>
          <w:szCs w:val="18"/>
          <w:lang w:val="sk-SK"/>
        </w:rPr>
        <w:t xml:space="preserve"> </w:t>
      </w:r>
      <w:r w:rsidR="008D7190">
        <w:rPr>
          <w:rFonts w:ascii="Arial" w:hAnsi="Arial" w:cs="Arial"/>
          <w:b/>
          <w:sz w:val="18"/>
          <w:szCs w:val="18"/>
          <w:lang w:val="sk-SK"/>
        </w:rPr>
        <w:t>štvrťroku</w:t>
      </w:r>
      <w:r w:rsidR="009D1BD0" w:rsidRPr="00F12436">
        <w:rPr>
          <w:rFonts w:ascii="Arial" w:hAnsi="Arial" w:cs="Arial"/>
          <w:b/>
          <w:sz w:val="18"/>
          <w:szCs w:val="18"/>
          <w:lang w:val="sk-SK"/>
        </w:rPr>
        <w:t xml:space="preserve"> 20</w:t>
      </w:r>
      <w:r w:rsidR="00A3697A">
        <w:rPr>
          <w:rFonts w:ascii="Arial" w:hAnsi="Arial" w:cs="Arial"/>
          <w:b/>
          <w:sz w:val="18"/>
          <w:szCs w:val="18"/>
          <w:lang w:val="sk-SK"/>
        </w:rPr>
        <w:t>2</w:t>
      </w:r>
      <w:r w:rsidR="0016483F">
        <w:rPr>
          <w:rFonts w:ascii="Arial" w:hAnsi="Arial" w:cs="Arial"/>
          <w:b/>
          <w:sz w:val="18"/>
          <w:szCs w:val="18"/>
          <w:lang w:val="sk-SK"/>
        </w:rPr>
        <w:t>1</w:t>
      </w:r>
      <w:r w:rsidR="004E7ABF" w:rsidRPr="00F12436">
        <w:rPr>
          <w:rFonts w:ascii="Arial" w:hAnsi="Arial" w:cs="Arial"/>
          <w:b/>
          <w:sz w:val="18"/>
          <w:szCs w:val="18"/>
          <w:lang w:val="sk-SK"/>
        </w:rPr>
        <w:t xml:space="preserve"> do</w:t>
      </w:r>
      <w:r w:rsidR="009D1BD0" w:rsidRPr="00F12436">
        <w:rPr>
          <w:rFonts w:ascii="Arial" w:hAnsi="Arial" w:cs="Arial"/>
          <w:b/>
          <w:sz w:val="18"/>
          <w:szCs w:val="18"/>
          <w:lang w:val="sk-SK"/>
        </w:rPr>
        <w:t>siahla celková ponuka kancelárskych priestorov (</w:t>
      </w:r>
      <w:proofErr w:type="spellStart"/>
      <w:r w:rsidR="000E3223">
        <w:rPr>
          <w:rFonts w:ascii="Arial" w:hAnsi="Arial" w:cs="Arial"/>
          <w:b/>
          <w:sz w:val="18"/>
          <w:szCs w:val="18"/>
          <w:lang w:val="sk-SK"/>
        </w:rPr>
        <w:t>o</w:t>
      </w:r>
      <w:r w:rsidR="009D1BD0" w:rsidRPr="00F12436">
        <w:rPr>
          <w:rFonts w:ascii="Arial" w:hAnsi="Arial" w:cs="Arial"/>
          <w:b/>
          <w:sz w:val="18"/>
          <w:szCs w:val="18"/>
          <w:lang w:val="sk-SK"/>
        </w:rPr>
        <w:t>ffice</w:t>
      </w:r>
      <w:proofErr w:type="spellEnd"/>
      <w:r w:rsidR="009D1BD0" w:rsidRPr="00F12436">
        <w:rPr>
          <w:rFonts w:ascii="Arial" w:hAnsi="Arial" w:cs="Arial"/>
          <w:b/>
          <w:sz w:val="18"/>
          <w:szCs w:val="18"/>
          <w:lang w:val="sk-SK"/>
        </w:rPr>
        <w:t xml:space="preserve"> </w:t>
      </w:r>
      <w:proofErr w:type="spellStart"/>
      <w:r w:rsidR="000E3223">
        <w:rPr>
          <w:rFonts w:ascii="Arial" w:hAnsi="Arial" w:cs="Arial"/>
          <w:b/>
          <w:sz w:val="18"/>
          <w:szCs w:val="18"/>
          <w:lang w:val="sk-SK"/>
        </w:rPr>
        <w:t>s</w:t>
      </w:r>
      <w:r w:rsidR="009D1BD0" w:rsidRPr="00F12436">
        <w:rPr>
          <w:rFonts w:ascii="Arial" w:hAnsi="Arial" w:cs="Arial"/>
          <w:b/>
          <w:sz w:val="18"/>
          <w:szCs w:val="18"/>
          <w:lang w:val="sk-SK"/>
        </w:rPr>
        <w:t>tock</w:t>
      </w:r>
      <w:proofErr w:type="spellEnd"/>
      <w:r w:rsidR="009D1BD0" w:rsidRPr="00F12436">
        <w:rPr>
          <w:rFonts w:ascii="Arial" w:hAnsi="Arial" w:cs="Arial"/>
          <w:b/>
          <w:sz w:val="18"/>
          <w:szCs w:val="18"/>
          <w:lang w:val="sk-SK"/>
        </w:rPr>
        <w:t>) v</w:t>
      </w:r>
      <w:r w:rsidR="004E7ABF" w:rsidRPr="00F12436">
        <w:rPr>
          <w:rFonts w:ascii="Arial" w:hAnsi="Arial" w:cs="Arial"/>
          <w:b/>
          <w:sz w:val="18"/>
          <w:szCs w:val="18"/>
          <w:lang w:val="sk-SK"/>
        </w:rPr>
        <w:t> </w:t>
      </w:r>
      <w:r w:rsidR="009D1BD0" w:rsidRPr="00F12436">
        <w:rPr>
          <w:rFonts w:ascii="Arial" w:hAnsi="Arial" w:cs="Arial"/>
          <w:b/>
          <w:sz w:val="18"/>
          <w:szCs w:val="18"/>
          <w:lang w:val="sk-SK"/>
        </w:rPr>
        <w:t>Bratislav</w:t>
      </w:r>
      <w:r w:rsidR="00E014C1" w:rsidRPr="00F12436">
        <w:rPr>
          <w:rFonts w:ascii="Arial" w:hAnsi="Arial" w:cs="Arial"/>
          <w:b/>
          <w:sz w:val="18"/>
          <w:szCs w:val="18"/>
          <w:lang w:val="sk-SK"/>
        </w:rPr>
        <w:t>e</w:t>
      </w:r>
      <w:r w:rsidR="00034978" w:rsidRPr="00F12436">
        <w:rPr>
          <w:rFonts w:ascii="Arial" w:hAnsi="Arial" w:cs="Arial"/>
          <w:b/>
          <w:sz w:val="18"/>
          <w:szCs w:val="18"/>
          <w:lang w:val="sk-SK"/>
        </w:rPr>
        <w:t xml:space="preserve"> </w:t>
      </w:r>
      <w:r w:rsidR="00005F56">
        <w:rPr>
          <w:rFonts w:ascii="Arial" w:hAnsi="Arial" w:cs="Arial"/>
          <w:b/>
          <w:sz w:val="18"/>
          <w:szCs w:val="18"/>
          <w:lang w:val="sk-SK"/>
        </w:rPr>
        <w:t>viac ako</w:t>
      </w:r>
      <w:r w:rsidR="009D107E" w:rsidRPr="00F12436">
        <w:rPr>
          <w:rFonts w:ascii="Arial" w:hAnsi="Arial" w:cs="Arial"/>
          <w:b/>
          <w:sz w:val="18"/>
          <w:szCs w:val="18"/>
          <w:lang w:val="sk-SK"/>
        </w:rPr>
        <w:t xml:space="preserve"> </w:t>
      </w:r>
      <w:r w:rsidR="00831C60" w:rsidRPr="00F12436">
        <w:rPr>
          <w:rFonts w:ascii="Arial" w:hAnsi="Arial" w:cs="Arial"/>
          <w:b/>
          <w:sz w:val="18"/>
          <w:szCs w:val="18"/>
          <w:lang w:val="sk-SK"/>
        </w:rPr>
        <w:t>1,</w:t>
      </w:r>
      <w:r w:rsidR="00CB01A6">
        <w:rPr>
          <w:rFonts w:ascii="Arial" w:hAnsi="Arial" w:cs="Arial"/>
          <w:b/>
          <w:sz w:val="18"/>
          <w:szCs w:val="18"/>
          <w:lang w:val="sk-SK"/>
        </w:rPr>
        <w:t>9</w:t>
      </w:r>
      <w:r w:rsidR="00A60C96">
        <w:rPr>
          <w:rFonts w:ascii="Arial" w:hAnsi="Arial" w:cs="Arial"/>
          <w:b/>
          <w:sz w:val="18"/>
          <w:szCs w:val="18"/>
          <w:lang w:val="sk-SK"/>
        </w:rPr>
        <w:t>75</w:t>
      </w:r>
      <w:r w:rsidR="00103B32" w:rsidRPr="00F12436">
        <w:rPr>
          <w:rFonts w:ascii="Arial" w:hAnsi="Arial" w:cs="Arial"/>
          <w:b/>
          <w:sz w:val="18"/>
          <w:szCs w:val="18"/>
          <w:lang w:val="sk-SK"/>
        </w:rPr>
        <w:t xml:space="preserve"> </w:t>
      </w:r>
      <w:r w:rsidR="00D22CEF" w:rsidRPr="00F12436">
        <w:rPr>
          <w:rFonts w:ascii="Arial" w:hAnsi="Arial" w:cs="Arial"/>
          <w:b/>
          <w:sz w:val="18"/>
          <w:szCs w:val="18"/>
          <w:lang w:val="sk-SK"/>
        </w:rPr>
        <w:t>mil</w:t>
      </w:r>
      <w:r w:rsidR="00E51D24">
        <w:rPr>
          <w:rFonts w:ascii="Arial" w:hAnsi="Arial" w:cs="Arial"/>
          <w:b/>
          <w:sz w:val="18"/>
          <w:szCs w:val="18"/>
          <w:lang w:val="sk-SK"/>
        </w:rPr>
        <w:t>.</w:t>
      </w:r>
      <w:r w:rsidR="009D1BD0" w:rsidRPr="00F12436">
        <w:rPr>
          <w:rFonts w:ascii="Arial" w:hAnsi="Arial" w:cs="Arial"/>
          <w:b/>
          <w:sz w:val="18"/>
          <w:szCs w:val="18"/>
          <w:lang w:val="sk-SK"/>
        </w:rPr>
        <w:t xml:space="preserve"> m²</w:t>
      </w:r>
      <w:r w:rsidR="001F19F2" w:rsidRPr="00F12436">
        <w:rPr>
          <w:rFonts w:ascii="Arial" w:hAnsi="Arial" w:cs="Arial"/>
          <w:b/>
          <w:sz w:val="18"/>
          <w:szCs w:val="18"/>
          <w:lang w:val="sk-SK"/>
        </w:rPr>
        <w:t xml:space="preserve">. </w:t>
      </w:r>
      <w:r w:rsidR="00D14884" w:rsidRPr="00F12436">
        <w:rPr>
          <w:rFonts w:ascii="Arial" w:hAnsi="Arial" w:cs="Arial"/>
          <w:b/>
          <w:sz w:val="18"/>
          <w:szCs w:val="18"/>
          <w:lang w:val="sk-SK"/>
        </w:rPr>
        <w:t>6</w:t>
      </w:r>
      <w:r w:rsidR="0016483F">
        <w:rPr>
          <w:rFonts w:ascii="Arial" w:hAnsi="Arial" w:cs="Arial"/>
          <w:b/>
          <w:sz w:val="18"/>
          <w:szCs w:val="18"/>
          <w:lang w:val="sk-SK"/>
        </w:rPr>
        <w:t>4</w:t>
      </w:r>
      <w:r w:rsidR="002A1C5F">
        <w:rPr>
          <w:rFonts w:ascii="Arial" w:hAnsi="Arial" w:cs="Arial"/>
          <w:b/>
          <w:sz w:val="18"/>
          <w:szCs w:val="18"/>
          <w:lang w:val="sk-SK"/>
        </w:rPr>
        <w:t xml:space="preserve"> </w:t>
      </w:r>
      <w:r w:rsidR="004E7ABF" w:rsidRPr="00F12436">
        <w:rPr>
          <w:rFonts w:ascii="Arial" w:hAnsi="Arial" w:cs="Arial"/>
          <w:b/>
          <w:sz w:val="18"/>
          <w:szCs w:val="18"/>
          <w:lang w:val="sk-SK"/>
        </w:rPr>
        <w:t>%</w:t>
      </w:r>
      <w:r w:rsidR="009D1BD0" w:rsidRPr="00F12436">
        <w:rPr>
          <w:rFonts w:ascii="Arial" w:hAnsi="Arial" w:cs="Arial"/>
          <w:b/>
          <w:sz w:val="18"/>
          <w:szCs w:val="18"/>
          <w:lang w:val="sk-SK"/>
        </w:rPr>
        <w:t xml:space="preserve"> z tejto ponuky </w:t>
      </w:r>
      <w:r w:rsidR="00657EF6">
        <w:rPr>
          <w:rFonts w:ascii="Arial" w:hAnsi="Arial" w:cs="Arial"/>
          <w:b/>
          <w:sz w:val="18"/>
          <w:szCs w:val="18"/>
          <w:lang w:val="sk-SK"/>
        </w:rPr>
        <w:t xml:space="preserve">naďalej </w:t>
      </w:r>
      <w:r w:rsidR="009D1BD0" w:rsidRPr="00F12436">
        <w:rPr>
          <w:rFonts w:ascii="Arial" w:hAnsi="Arial" w:cs="Arial"/>
          <w:b/>
          <w:sz w:val="18"/>
          <w:szCs w:val="18"/>
          <w:lang w:val="sk-SK"/>
        </w:rPr>
        <w:t>tvoria kancelár</w:t>
      </w:r>
      <w:r w:rsidR="00CD60B2" w:rsidRPr="00F12436">
        <w:rPr>
          <w:rFonts w:ascii="Arial" w:hAnsi="Arial" w:cs="Arial"/>
          <w:b/>
          <w:sz w:val="18"/>
          <w:szCs w:val="18"/>
          <w:lang w:val="sk-SK"/>
        </w:rPr>
        <w:t>ske priestory v štandarde A a</w:t>
      </w:r>
      <w:r w:rsidR="00EE12EF">
        <w:rPr>
          <w:rFonts w:ascii="Arial" w:hAnsi="Arial" w:cs="Arial"/>
          <w:b/>
          <w:sz w:val="18"/>
          <w:szCs w:val="18"/>
          <w:lang w:val="sk-SK"/>
        </w:rPr>
        <w:t> </w:t>
      </w:r>
      <w:r w:rsidR="006211BF" w:rsidRPr="00F12436">
        <w:rPr>
          <w:rFonts w:ascii="Arial" w:hAnsi="Arial" w:cs="Arial"/>
          <w:b/>
          <w:sz w:val="18"/>
          <w:szCs w:val="18"/>
          <w:lang w:val="sk-SK"/>
        </w:rPr>
        <w:t>3</w:t>
      </w:r>
      <w:r w:rsidR="0016483F">
        <w:rPr>
          <w:rFonts w:ascii="Arial" w:hAnsi="Arial" w:cs="Arial"/>
          <w:b/>
          <w:sz w:val="18"/>
          <w:szCs w:val="18"/>
          <w:lang w:val="sk-SK"/>
        </w:rPr>
        <w:t>6</w:t>
      </w:r>
      <w:r w:rsidR="002A1C5F">
        <w:rPr>
          <w:rFonts w:ascii="Arial" w:hAnsi="Arial" w:cs="Arial"/>
          <w:b/>
          <w:sz w:val="18"/>
          <w:szCs w:val="18"/>
          <w:lang w:val="sk-SK"/>
        </w:rPr>
        <w:t xml:space="preserve"> </w:t>
      </w:r>
      <w:r w:rsidR="009D1BD0" w:rsidRPr="00F12436">
        <w:rPr>
          <w:rFonts w:ascii="Arial" w:hAnsi="Arial" w:cs="Arial"/>
          <w:b/>
          <w:sz w:val="18"/>
          <w:szCs w:val="18"/>
          <w:lang w:val="sk-SK"/>
        </w:rPr>
        <w:t>% kancelárske priestory v štandarde B.</w:t>
      </w:r>
    </w:p>
    <w:p w14:paraId="1AE583F2" w14:textId="5CBC7293" w:rsidR="00F12436" w:rsidRDefault="00F12436" w:rsidP="00F12436">
      <w:pPr>
        <w:jc w:val="both"/>
        <w:outlineLvl w:val="0"/>
        <w:rPr>
          <w:rFonts w:ascii="Arial" w:hAnsi="Arial" w:cs="Arial"/>
          <w:sz w:val="18"/>
          <w:szCs w:val="18"/>
          <w:lang w:val="sk-SK" w:eastAsia="cs-CZ"/>
        </w:rPr>
      </w:pPr>
    </w:p>
    <w:p w14:paraId="3F90D1A3" w14:textId="4641E44D" w:rsidR="00E55F3B" w:rsidRDefault="0016483F" w:rsidP="00F12436">
      <w:pPr>
        <w:jc w:val="both"/>
        <w:outlineLvl w:val="0"/>
        <w:rPr>
          <w:rFonts w:ascii="Arial" w:hAnsi="Arial" w:cs="Arial"/>
          <w:sz w:val="18"/>
          <w:szCs w:val="18"/>
          <w:lang w:val="sk-SK"/>
        </w:rPr>
      </w:pPr>
      <w:bookmarkStart w:id="3" w:name="_Hlk511379476"/>
      <w:r w:rsidRPr="0016483F">
        <w:rPr>
          <w:rFonts w:ascii="Arial" w:hAnsi="Arial" w:cs="Arial"/>
          <w:sz w:val="18"/>
          <w:szCs w:val="18"/>
          <w:lang w:val="sk-SK"/>
        </w:rPr>
        <w:t xml:space="preserve">V priebehu </w:t>
      </w:r>
      <w:r w:rsidR="00A60C96">
        <w:rPr>
          <w:rFonts w:ascii="Arial" w:hAnsi="Arial" w:cs="Arial"/>
          <w:sz w:val="18"/>
          <w:szCs w:val="18"/>
          <w:lang w:val="sk-SK"/>
        </w:rPr>
        <w:t>tretieho</w:t>
      </w:r>
      <w:r w:rsidRPr="0016483F">
        <w:rPr>
          <w:rFonts w:ascii="Arial" w:hAnsi="Arial" w:cs="Arial"/>
          <w:sz w:val="18"/>
          <w:szCs w:val="18"/>
          <w:lang w:val="sk-SK"/>
        </w:rPr>
        <w:t xml:space="preserve"> štvrťroka 2021 bol</w:t>
      </w:r>
      <w:r w:rsidR="00A60C96">
        <w:rPr>
          <w:rFonts w:ascii="Arial" w:hAnsi="Arial" w:cs="Arial"/>
          <w:sz w:val="18"/>
          <w:szCs w:val="18"/>
          <w:lang w:val="sk-SK"/>
        </w:rPr>
        <w:t>i</w:t>
      </w:r>
      <w:r w:rsidRPr="0016483F">
        <w:rPr>
          <w:rFonts w:ascii="Arial" w:hAnsi="Arial" w:cs="Arial"/>
          <w:sz w:val="18"/>
          <w:szCs w:val="18"/>
          <w:lang w:val="sk-SK"/>
        </w:rPr>
        <w:t xml:space="preserve"> na trh pridan</w:t>
      </w:r>
      <w:r w:rsidR="00A60C96">
        <w:rPr>
          <w:rFonts w:ascii="Arial" w:hAnsi="Arial" w:cs="Arial"/>
          <w:sz w:val="18"/>
          <w:szCs w:val="18"/>
          <w:lang w:val="sk-SK"/>
        </w:rPr>
        <w:t>é</w:t>
      </w:r>
      <w:r w:rsidRPr="0016483F">
        <w:rPr>
          <w:rFonts w:ascii="Arial" w:hAnsi="Arial" w:cs="Arial"/>
          <w:sz w:val="18"/>
          <w:szCs w:val="18"/>
          <w:lang w:val="sk-SK"/>
        </w:rPr>
        <w:t xml:space="preserve"> </w:t>
      </w:r>
      <w:r w:rsidR="00A60C96">
        <w:rPr>
          <w:rFonts w:ascii="Arial" w:hAnsi="Arial" w:cs="Arial"/>
          <w:sz w:val="18"/>
          <w:szCs w:val="18"/>
          <w:lang w:val="sk-SK"/>
        </w:rPr>
        <w:t>dve</w:t>
      </w:r>
      <w:r w:rsidRPr="0016483F">
        <w:rPr>
          <w:rFonts w:ascii="Arial" w:hAnsi="Arial" w:cs="Arial"/>
          <w:sz w:val="18"/>
          <w:szCs w:val="18"/>
          <w:lang w:val="sk-SK"/>
        </w:rPr>
        <w:t xml:space="preserve"> nov</w:t>
      </w:r>
      <w:r w:rsidR="00A60C96">
        <w:rPr>
          <w:rFonts w:ascii="Arial" w:hAnsi="Arial" w:cs="Arial"/>
          <w:sz w:val="18"/>
          <w:szCs w:val="18"/>
          <w:lang w:val="sk-SK"/>
        </w:rPr>
        <w:t>é</w:t>
      </w:r>
      <w:r w:rsidRPr="0016483F">
        <w:rPr>
          <w:rFonts w:ascii="Arial" w:hAnsi="Arial" w:cs="Arial"/>
          <w:sz w:val="18"/>
          <w:szCs w:val="18"/>
          <w:lang w:val="sk-SK"/>
        </w:rPr>
        <w:t xml:space="preserve"> kancelársk</w:t>
      </w:r>
      <w:r w:rsidR="00A60C96">
        <w:rPr>
          <w:rFonts w:ascii="Arial" w:hAnsi="Arial" w:cs="Arial"/>
          <w:sz w:val="18"/>
          <w:szCs w:val="18"/>
          <w:lang w:val="sk-SK"/>
        </w:rPr>
        <w:t>e</w:t>
      </w:r>
      <w:r w:rsidRPr="0016483F">
        <w:rPr>
          <w:rFonts w:ascii="Arial" w:hAnsi="Arial" w:cs="Arial"/>
          <w:sz w:val="18"/>
          <w:szCs w:val="18"/>
          <w:lang w:val="sk-SK"/>
        </w:rPr>
        <w:t xml:space="preserve"> budov</w:t>
      </w:r>
      <w:r w:rsidR="00A60C96">
        <w:rPr>
          <w:rFonts w:ascii="Arial" w:hAnsi="Arial" w:cs="Arial"/>
          <w:sz w:val="18"/>
          <w:szCs w:val="18"/>
          <w:lang w:val="sk-SK"/>
        </w:rPr>
        <w:t>y</w:t>
      </w:r>
      <w:r w:rsidR="008A44EB">
        <w:rPr>
          <w:rFonts w:ascii="Arial" w:hAnsi="Arial" w:cs="Arial"/>
          <w:sz w:val="18"/>
          <w:szCs w:val="18"/>
          <w:lang w:val="sk-SK"/>
        </w:rPr>
        <w:t>,</w:t>
      </w:r>
      <w:r w:rsidR="00A60C96">
        <w:rPr>
          <w:rFonts w:ascii="Arial" w:hAnsi="Arial" w:cs="Arial"/>
          <w:sz w:val="18"/>
          <w:szCs w:val="18"/>
          <w:lang w:val="sk-SK"/>
        </w:rPr>
        <w:t xml:space="preserve"> a to </w:t>
      </w:r>
      <w:proofErr w:type="spellStart"/>
      <w:r w:rsidR="00A60C96">
        <w:rPr>
          <w:rFonts w:ascii="Arial" w:hAnsi="Arial" w:cs="Arial"/>
          <w:sz w:val="18"/>
          <w:szCs w:val="18"/>
          <w:lang w:val="sk-SK"/>
        </w:rPr>
        <w:t>Jurkovičova</w:t>
      </w:r>
      <w:proofErr w:type="spellEnd"/>
      <w:r w:rsidR="00A60C96">
        <w:rPr>
          <w:rFonts w:ascii="Arial" w:hAnsi="Arial" w:cs="Arial"/>
          <w:sz w:val="18"/>
          <w:szCs w:val="18"/>
          <w:lang w:val="sk-SK"/>
        </w:rPr>
        <w:t xml:space="preserve"> Tepláreň, s 4,206 m</w:t>
      </w:r>
      <w:r w:rsidR="00005F56">
        <w:rPr>
          <w:rFonts w:ascii="Arial" w:hAnsi="Arial" w:cs="Arial"/>
          <w:sz w:val="18"/>
          <w:szCs w:val="18"/>
          <w:vertAlign w:val="superscript"/>
          <w:lang w:val="sk-SK"/>
        </w:rPr>
        <w:t>2</w:t>
      </w:r>
      <w:r w:rsidR="00A60C96">
        <w:rPr>
          <w:rFonts w:ascii="Arial" w:hAnsi="Arial" w:cs="Arial"/>
          <w:sz w:val="18"/>
          <w:szCs w:val="18"/>
          <w:lang w:val="sk-SK"/>
        </w:rPr>
        <w:t xml:space="preserve"> a </w:t>
      </w:r>
      <w:proofErr w:type="spellStart"/>
      <w:r w:rsidR="00A60C96">
        <w:rPr>
          <w:rFonts w:ascii="Arial" w:hAnsi="Arial" w:cs="Arial"/>
          <w:sz w:val="18"/>
          <w:szCs w:val="18"/>
          <w:lang w:val="sk-SK"/>
        </w:rPr>
        <w:t>Klingerka</w:t>
      </w:r>
      <w:proofErr w:type="spellEnd"/>
      <w:r w:rsidR="00A60C96">
        <w:rPr>
          <w:rFonts w:ascii="Arial" w:hAnsi="Arial" w:cs="Arial"/>
          <w:sz w:val="18"/>
          <w:szCs w:val="18"/>
          <w:lang w:val="sk-SK"/>
        </w:rPr>
        <w:t xml:space="preserve"> Office, ktorá má 10,500 m</w:t>
      </w:r>
      <w:r w:rsidR="00005F56">
        <w:rPr>
          <w:rFonts w:ascii="Arial" w:hAnsi="Arial" w:cs="Arial"/>
          <w:sz w:val="18"/>
          <w:szCs w:val="18"/>
          <w:vertAlign w:val="superscript"/>
          <w:lang w:val="sk-SK"/>
        </w:rPr>
        <w:t>2</w:t>
      </w:r>
      <w:r w:rsidR="00A60C96">
        <w:rPr>
          <w:rFonts w:ascii="Arial" w:hAnsi="Arial" w:cs="Arial"/>
          <w:sz w:val="18"/>
          <w:szCs w:val="18"/>
          <w:lang w:val="sk-SK"/>
        </w:rPr>
        <w:t xml:space="preserve"> plochy</w:t>
      </w:r>
      <w:r w:rsidR="008A44EB">
        <w:rPr>
          <w:rFonts w:ascii="Arial" w:hAnsi="Arial" w:cs="Arial"/>
          <w:sz w:val="18"/>
          <w:szCs w:val="18"/>
          <w:lang w:val="sk-SK"/>
        </w:rPr>
        <w:t>.</w:t>
      </w:r>
      <w:r w:rsidR="00A60C96">
        <w:rPr>
          <w:rFonts w:ascii="Arial" w:hAnsi="Arial" w:cs="Arial"/>
          <w:sz w:val="18"/>
          <w:szCs w:val="18"/>
          <w:lang w:val="sk-SK"/>
        </w:rPr>
        <w:t xml:space="preserve"> </w:t>
      </w:r>
      <w:r w:rsidR="008A44EB">
        <w:rPr>
          <w:rFonts w:ascii="Arial" w:hAnsi="Arial" w:cs="Arial"/>
          <w:sz w:val="18"/>
          <w:szCs w:val="18"/>
          <w:lang w:val="sk-SK"/>
        </w:rPr>
        <w:t>D</w:t>
      </w:r>
      <w:r w:rsidR="00A60C96">
        <w:rPr>
          <w:rFonts w:ascii="Arial" w:hAnsi="Arial" w:cs="Arial"/>
          <w:sz w:val="18"/>
          <w:szCs w:val="18"/>
          <w:lang w:val="sk-SK"/>
        </w:rPr>
        <w:t xml:space="preserve">okopy </w:t>
      </w:r>
      <w:r w:rsidR="008A44EB">
        <w:rPr>
          <w:rFonts w:ascii="Arial" w:hAnsi="Arial" w:cs="Arial"/>
          <w:sz w:val="18"/>
          <w:szCs w:val="18"/>
          <w:lang w:val="sk-SK"/>
        </w:rPr>
        <w:t xml:space="preserve">tieto budovy </w:t>
      </w:r>
      <w:r w:rsidR="00A60C96">
        <w:rPr>
          <w:rFonts w:ascii="Arial" w:hAnsi="Arial" w:cs="Arial"/>
          <w:sz w:val="18"/>
          <w:szCs w:val="18"/>
          <w:lang w:val="sk-SK"/>
        </w:rPr>
        <w:t>tvoria skoro 15,000 m</w:t>
      </w:r>
      <w:r w:rsidR="00005F56">
        <w:rPr>
          <w:rFonts w:ascii="Arial" w:hAnsi="Arial" w:cs="Arial"/>
          <w:sz w:val="18"/>
          <w:szCs w:val="18"/>
          <w:vertAlign w:val="superscript"/>
          <w:lang w:val="sk-SK"/>
        </w:rPr>
        <w:t>2</w:t>
      </w:r>
      <w:r w:rsidR="00A60C96">
        <w:rPr>
          <w:rFonts w:ascii="Arial" w:hAnsi="Arial" w:cs="Arial"/>
          <w:sz w:val="18"/>
          <w:szCs w:val="18"/>
          <w:lang w:val="sk-SK"/>
        </w:rPr>
        <w:t xml:space="preserve"> novej plochy.</w:t>
      </w:r>
      <w:r w:rsidR="008A44EB">
        <w:rPr>
          <w:rFonts w:ascii="Arial" w:hAnsi="Arial" w:cs="Arial"/>
          <w:sz w:val="18"/>
          <w:szCs w:val="18"/>
          <w:lang w:val="sk-SK"/>
        </w:rPr>
        <w:t xml:space="preserve"> </w:t>
      </w:r>
      <w:r w:rsidRPr="0016483F">
        <w:rPr>
          <w:rFonts w:ascii="Arial" w:hAnsi="Arial" w:cs="Arial"/>
          <w:sz w:val="18"/>
          <w:szCs w:val="18"/>
          <w:lang w:val="sk-SK"/>
        </w:rPr>
        <w:t xml:space="preserve">Do konca roka </w:t>
      </w:r>
      <w:r w:rsidR="00005F56">
        <w:rPr>
          <w:rFonts w:ascii="Arial" w:hAnsi="Arial" w:cs="Arial"/>
          <w:sz w:val="18"/>
          <w:szCs w:val="18"/>
          <w:lang w:val="sk-SK"/>
        </w:rPr>
        <w:t>očakávame</w:t>
      </w:r>
      <w:r w:rsidRPr="0016483F">
        <w:rPr>
          <w:rFonts w:ascii="Arial" w:hAnsi="Arial" w:cs="Arial"/>
          <w:sz w:val="18"/>
          <w:szCs w:val="18"/>
          <w:lang w:val="sk-SK"/>
        </w:rPr>
        <w:t xml:space="preserve"> dokončenie ďalš</w:t>
      </w:r>
      <w:r w:rsidR="00005F56">
        <w:rPr>
          <w:rFonts w:ascii="Arial" w:hAnsi="Arial" w:cs="Arial"/>
          <w:sz w:val="18"/>
          <w:szCs w:val="18"/>
          <w:lang w:val="sk-SK"/>
        </w:rPr>
        <w:t>ích</w:t>
      </w:r>
      <w:r w:rsidRPr="0016483F">
        <w:rPr>
          <w:rFonts w:ascii="Arial" w:hAnsi="Arial" w:cs="Arial"/>
          <w:sz w:val="18"/>
          <w:szCs w:val="18"/>
          <w:lang w:val="sk-SK"/>
        </w:rPr>
        <w:t xml:space="preserve"> </w:t>
      </w:r>
      <w:r w:rsidR="00005F56">
        <w:rPr>
          <w:rFonts w:ascii="Arial" w:hAnsi="Arial" w:cs="Arial"/>
          <w:sz w:val="18"/>
          <w:szCs w:val="18"/>
          <w:lang w:val="sk-SK"/>
        </w:rPr>
        <w:t>dvoch</w:t>
      </w:r>
      <w:r w:rsidRPr="0016483F">
        <w:rPr>
          <w:rFonts w:ascii="Arial" w:hAnsi="Arial" w:cs="Arial"/>
          <w:sz w:val="18"/>
          <w:szCs w:val="18"/>
          <w:lang w:val="sk-SK"/>
        </w:rPr>
        <w:t xml:space="preserve"> projekt</w:t>
      </w:r>
      <w:r w:rsidR="00005F56">
        <w:rPr>
          <w:rFonts w:ascii="Arial" w:hAnsi="Arial" w:cs="Arial"/>
          <w:sz w:val="18"/>
          <w:szCs w:val="18"/>
          <w:lang w:val="sk-SK"/>
        </w:rPr>
        <w:t>ov</w:t>
      </w:r>
      <w:r w:rsidRPr="0016483F">
        <w:rPr>
          <w:rFonts w:ascii="Arial" w:hAnsi="Arial" w:cs="Arial"/>
          <w:sz w:val="18"/>
          <w:szCs w:val="18"/>
          <w:lang w:val="sk-SK"/>
        </w:rPr>
        <w:t xml:space="preserve"> triedy A s celkovou plochou viac ako </w:t>
      </w:r>
      <w:r w:rsidR="00A60C96">
        <w:rPr>
          <w:rFonts w:ascii="Arial" w:hAnsi="Arial" w:cs="Arial"/>
          <w:sz w:val="18"/>
          <w:szCs w:val="18"/>
          <w:lang w:val="sk-SK"/>
        </w:rPr>
        <w:t>2</w:t>
      </w:r>
      <w:r w:rsidR="00224736">
        <w:rPr>
          <w:rFonts w:ascii="Arial" w:hAnsi="Arial" w:cs="Arial"/>
          <w:sz w:val="18"/>
          <w:szCs w:val="18"/>
          <w:lang w:val="sk-SK"/>
        </w:rPr>
        <w:t>7</w:t>
      </w:r>
      <w:r w:rsidR="00A60C96">
        <w:rPr>
          <w:rFonts w:ascii="Arial" w:hAnsi="Arial" w:cs="Arial"/>
          <w:sz w:val="18"/>
          <w:szCs w:val="18"/>
          <w:lang w:val="sk-SK"/>
        </w:rPr>
        <w:t>,000</w:t>
      </w:r>
      <w:r w:rsidRPr="0016483F">
        <w:rPr>
          <w:rFonts w:ascii="Arial" w:hAnsi="Arial" w:cs="Arial"/>
          <w:sz w:val="18"/>
          <w:szCs w:val="18"/>
          <w:lang w:val="sk-SK"/>
        </w:rPr>
        <w:t xml:space="preserve"> </w:t>
      </w:r>
      <w:r w:rsidR="00005F56">
        <w:rPr>
          <w:rFonts w:ascii="Arial" w:hAnsi="Arial" w:cs="Arial"/>
          <w:sz w:val="18"/>
          <w:szCs w:val="18"/>
          <w:lang w:val="sk-SK"/>
        </w:rPr>
        <w:t>m</w:t>
      </w:r>
      <w:r w:rsidR="00005F56">
        <w:rPr>
          <w:rFonts w:ascii="Arial" w:hAnsi="Arial" w:cs="Arial"/>
          <w:sz w:val="18"/>
          <w:szCs w:val="18"/>
          <w:vertAlign w:val="superscript"/>
          <w:lang w:val="sk-SK"/>
        </w:rPr>
        <w:t>2</w:t>
      </w:r>
      <w:r w:rsidRPr="0016483F">
        <w:rPr>
          <w:rFonts w:ascii="Arial" w:hAnsi="Arial" w:cs="Arial"/>
          <w:sz w:val="18"/>
          <w:szCs w:val="18"/>
          <w:lang w:val="sk-SK"/>
        </w:rPr>
        <w:t>.</w:t>
      </w:r>
    </w:p>
    <w:p w14:paraId="3F283129" w14:textId="66DA3AA0" w:rsidR="00E55F3B" w:rsidRDefault="0016483F" w:rsidP="00F12436">
      <w:pPr>
        <w:jc w:val="both"/>
        <w:outlineLvl w:val="0"/>
        <w:rPr>
          <w:rFonts w:ascii="Arial" w:hAnsi="Arial" w:cs="Arial"/>
          <w:sz w:val="18"/>
          <w:szCs w:val="18"/>
          <w:lang w:val="sk-SK"/>
        </w:rPr>
      </w:pPr>
      <w:r>
        <w:rPr>
          <w:rFonts w:ascii="Arial" w:hAnsi="Arial" w:cs="Arial"/>
          <w:noProof/>
          <w:sz w:val="18"/>
          <w:szCs w:val="18"/>
          <w:lang w:val="sk-SK"/>
        </w:rPr>
        <w:drawing>
          <wp:anchor distT="0" distB="0" distL="114300" distR="114300" simplePos="0" relativeHeight="251672576" behindDoc="1" locked="0" layoutInCell="1" allowOverlap="1" wp14:anchorId="65345AA8" wp14:editId="17581501">
            <wp:simplePos x="0" y="0"/>
            <wp:positionH relativeFrom="column">
              <wp:posOffset>382404</wp:posOffset>
            </wp:positionH>
            <wp:positionV relativeFrom="page">
              <wp:posOffset>4337108</wp:posOffset>
            </wp:positionV>
            <wp:extent cx="5657215" cy="4933315"/>
            <wp:effectExtent l="0" t="0" r="635" b="635"/>
            <wp:wrapTight wrapText="bothSides">
              <wp:wrapPolygon edited="0">
                <wp:start x="0" y="0"/>
                <wp:lineTo x="0" y="21519"/>
                <wp:lineTo x="21530" y="21519"/>
                <wp:lineTo x="2153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7215" cy="4933315"/>
                    </a:xfrm>
                    <a:prstGeom prst="rect">
                      <a:avLst/>
                    </a:prstGeom>
                    <a:noFill/>
                  </pic:spPr>
                </pic:pic>
              </a:graphicData>
            </a:graphic>
            <wp14:sizeRelH relativeFrom="margin">
              <wp14:pctWidth>0</wp14:pctWidth>
            </wp14:sizeRelH>
            <wp14:sizeRelV relativeFrom="margin">
              <wp14:pctHeight>0</wp14:pctHeight>
            </wp14:sizeRelV>
          </wp:anchor>
        </w:drawing>
      </w:r>
    </w:p>
    <w:p w14:paraId="11FAD9F1" w14:textId="5F87A7F9" w:rsidR="00E55F3B" w:rsidRDefault="00E55F3B" w:rsidP="00F12436">
      <w:pPr>
        <w:jc w:val="both"/>
        <w:outlineLvl w:val="0"/>
        <w:rPr>
          <w:rFonts w:ascii="Arial" w:hAnsi="Arial" w:cs="Arial"/>
          <w:sz w:val="18"/>
          <w:szCs w:val="18"/>
          <w:lang w:val="sk-SK"/>
        </w:rPr>
      </w:pPr>
    </w:p>
    <w:p w14:paraId="7243E8D9" w14:textId="3248D487" w:rsidR="00E55F3B" w:rsidRDefault="00E55F3B" w:rsidP="00F12436">
      <w:pPr>
        <w:jc w:val="both"/>
        <w:outlineLvl w:val="0"/>
        <w:rPr>
          <w:rFonts w:ascii="Arial" w:hAnsi="Arial" w:cs="Arial"/>
          <w:sz w:val="18"/>
          <w:szCs w:val="18"/>
          <w:lang w:val="sk-SK"/>
        </w:rPr>
      </w:pPr>
    </w:p>
    <w:p w14:paraId="2F0E1716" w14:textId="77777777" w:rsidR="00E55F3B" w:rsidRDefault="00E55F3B" w:rsidP="00F12436">
      <w:pPr>
        <w:jc w:val="both"/>
        <w:outlineLvl w:val="0"/>
        <w:rPr>
          <w:rFonts w:ascii="Arial" w:hAnsi="Arial" w:cs="Arial"/>
          <w:sz w:val="18"/>
          <w:szCs w:val="18"/>
          <w:lang w:val="sk-SK"/>
        </w:rPr>
      </w:pPr>
    </w:p>
    <w:p w14:paraId="10EFBC2C" w14:textId="77777777" w:rsidR="00F12436" w:rsidRDefault="00F12436" w:rsidP="00F12436">
      <w:pPr>
        <w:jc w:val="both"/>
        <w:outlineLvl w:val="0"/>
        <w:rPr>
          <w:rFonts w:ascii="Arial" w:hAnsi="Arial" w:cs="Arial"/>
          <w:sz w:val="18"/>
          <w:szCs w:val="18"/>
          <w:lang w:val="sk-SK"/>
        </w:rPr>
      </w:pPr>
    </w:p>
    <w:p w14:paraId="581293DD" w14:textId="159C33B9" w:rsidR="00F12436" w:rsidRPr="00574CAA" w:rsidRDefault="00F12436" w:rsidP="00F12436">
      <w:pPr>
        <w:jc w:val="both"/>
        <w:outlineLvl w:val="0"/>
        <w:rPr>
          <w:rFonts w:ascii="Arial" w:hAnsi="Arial" w:cs="Arial"/>
          <w:sz w:val="18"/>
          <w:szCs w:val="18"/>
          <w:lang w:val="sk-SK"/>
        </w:rPr>
      </w:pPr>
    </w:p>
    <w:p w14:paraId="48BF20AE" w14:textId="77777777" w:rsidR="008F7747" w:rsidRDefault="008F7747" w:rsidP="00F12436">
      <w:pPr>
        <w:jc w:val="both"/>
        <w:rPr>
          <w:rFonts w:ascii="Arial" w:hAnsi="Arial" w:cs="Arial"/>
          <w:b/>
          <w:lang w:val="sk-SK"/>
        </w:rPr>
      </w:pPr>
    </w:p>
    <w:p w14:paraId="59F6C78A" w14:textId="77777777" w:rsidR="008F7747" w:rsidRDefault="008F7747" w:rsidP="00F12436">
      <w:pPr>
        <w:jc w:val="both"/>
        <w:rPr>
          <w:rFonts w:ascii="Arial" w:hAnsi="Arial" w:cs="Arial"/>
          <w:b/>
          <w:lang w:val="sk-SK"/>
        </w:rPr>
      </w:pPr>
    </w:p>
    <w:p w14:paraId="3C23171F" w14:textId="77777777" w:rsidR="008F7747" w:rsidRDefault="008F7747" w:rsidP="00F12436">
      <w:pPr>
        <w:jc w:val="both"/>
        <w:rPr>
          <w:rFonts w:ascii="Arial" w:hAnsi="Arial" w:cs="Arial"/>
          <w:b/>
          <w:lang w:val="sk-SK"/>
        </w:rPr>
      </w:pPr>
    </w:p>
    <w:p w14:paraId="52802119" w14:textId="77777777" w:rsidR="008F7747" w:rsidRDefault="008F7747" w:rsidP="00F12436">
      <w:pPr>
        <w:jc w:val="both"/>
        <w:rPr>
          <w:rFonts w:ascii="Arial" w:hAnsi="Arial" w:cs="Arial"/>
          <w:b/>
          <w:lang w:val="sk-SK"/>
        </w:rPr>
      </w:pPr>
    </w:p>
    <w:p w14:paraId="66A13AAD" w14:textId="77777777" w:rsidR="008F7747" w:rsidRDefault="008F7747" w:rsidP="00F12436">
      <w:pPr>
        <w:jc w:val="both"/>
        <w:rPr>
          <w:rFonts w:ascii="Arial" w:hAnsi="Arial" w:cs="Arial"/>
          <w:b/>
          <w:lang w:val="sk-SK"/>
        </w:rPr>
      </w:pPr>
    </w:p>
    <w:p w14:paraId="21732B47" w14:textId="77777777" w:rsidR="008F7747" w:rsidRDefault="008F7747" w:rsidP="00F12436">
      <w:pPr>
        <w:jc w:val="both"/>
        <w:rPr>
          <w:rFonts w:ascii="Arial" w:hAnsi="Arial" w:cs="Arial"/>
          <w:b/>
          <w:lang w:val="sk-SK"/>
        </w:rPr>
      </w:pPr>
    </w:p>
    <w:p w14:paraId="49DDF8C5" w14:textId="77777777" w:rsidR="008F7747" w:rsidRDefault="008F7747" w:rsidP="00F12436">
      <w:pPr>
        <w:jc w:val="both"/>
        <w:rPr>
          <w:rFonts w:ascii="Arial" w:hAnsi="Arial" w:cs="Arial"/>
          <w:b/>
          <w:lang w:val="sk-SK"/>
        </w:rPr>
      </w:pPr>
    </w:p>
    <w:p w14:paraId="2D33C8D9" w14:textId="77777777" w:rsidR="008F7747" w:rsidRDefault="008F7747" w:rsidP="00F12436">
      <w:pPr>
        <w:jc w:val="both"/>
        <w:rPr>
          <w:rFonts w:ascii="Arial" w:hAnsi="Arial" w:cs="Arial"/>
          <w:b/>
          <w:lang w:val="sk-SK"/>
        </w:rPr>
      </w:pPr>
    </w:p>
    <w:p w14:paraId="2547D8C8" w14:textId="77777777" w:rsidR="008F7747" w:rsidRDefault="008F7747" w:rsidP="00F12436">
      <w:pPr>
        <w:jc w:val="both"/>
        <w:rPr>
          <w:rFonts w:ascii="Arial" w:hAnsi="Arial" w:cs="Arial"/>
          <w:b/>
          <w:lang w:val="sk-SK"/>
        </w:rPr>
      </w:pPr>
    </w:p>
    <w:p w14:paraId="499B9FC3" w14:textId="77777777" w:rsidR="008F7747" w:rsidRDefault="008F7747" w:rsidP="00F12436">
      <w:pPr>
        <w:jc w:val="both"/>
        <w:rPr>
          <w:rFonts w:ascii="Arial" w:hAnsi="Arial" w:cs="Arial"/>
          <w:b/>
          <w:lang w:val="sk-SK"/>
        </w:rPr>
      </w:pPr>
    </w:p>
    <w:p w14:paraId="07D3CFB7" w14:textId="02FD435A" w:rsidR="008F7747" w:rsidRDefault="008F7747" w:rsidP="00F12436">
      <w:pPr>
        <w:jc w:val="both"/>
        <w:rPr>
          <w:rFonts w:ascii="Arial" w:hAnsi="Arial" w:cs="Arial"/>
          <w:b/>
          <w:lang w:val="sk-SK"/>
        </w:rPr>
      </w:pPr>
    </w:p>
    <w:p w14:paraId="490D90B0" w14:textId="7A4FAD54" w:rsidR="00EE2A8D" w:rsidRDefault="00EE2A8D" w:rsidP="00EE4F82">
      <w:pPr>
        <w:jc w:val="center"/>
        <w:rPr>
          <w:rFonts w:ascii="Arial" w:hAnsi="Arial" w:cs="Arial"/>
          <w:b/>
          <w:lang w:val="sk-SK"/>
        </w:rPr>
      </w:pPr>
    </w:p>
    <w:p w14:paraId="597E31EA" w14:textId="0588CBB4" w:rsidR="00EE2A8D" w:rsidRDefault="00EE2A8D" w:rsidP="00F12436">
      <w:pPr>
        <w:jc w:val="both"/>
        <w:rPr>
          <w:rFonts w:ascii="Arial" w:hAnsi="Arial" w:cs="Arial"/>
          <w:b/>
          <w:lang w:val="sk-SK"/>
        </w:rPr>
      </w:pPr>
    </w:p>
    <w:p w14:paraId="72F0F54D" w14:textId="77777777" w:rsidR="00685FA7" w:rsidRDefault="00685FA7" w:rsidP="00F12436">
      <w:pPr>
        <w:jc w:val="both"/>
        <w:rPr>
          <w:rFonts w:ascii="Arial" w:hAnsi="Arial" w:cs="Arial"/>
          <w:sz w:val="18"/>
          <w:szCs w:val="18"/>
          <w:lang w:val="sk-SK"/>
        </w:rPr>
      </w:pPr>
    </w:p>
    <w:p w14:paraId="05297EEE" w14:textId="77777777" w:rsidR="00685FA7" w:rsidRDefault="00685FA7" w:rsidP="00F12436">
      <w:pPr>
        <w:jc w:val="both"/>
        <w:rPr>
          <w:rFonts w:ascii="Arial" w:hAnsi="Arial" w:cs="Arial"/>
          <w:sz w:val="18"/>
          <w:szCs w:val="18"/>
          <w:lang w:val="sk-SK"/>
        </w:rPr>
      </w:pPr>
    </w:p>
    <w:p w14:paraId="5C52928A" w14:textId="77777777" w:rsidR="00685FA7" w:rsidRDefault="00685FA7" w:rsidP="00F12436">
      <w:pPr>
        <w:jc w:val="both"/>
        <w:rPr>
          <w:rFonts w:ascii="Arial" w:hAnsi="Arial" w:cs="Arial"/>
          <w:sz w:val="18"/>
          <w:szCs w:val="18"/>
          <w:lang w:val="sk-SK"/>
        </w:rPr>
      </w:pPr>
    </w:p>
    <w:p w14:paraId="6D31DA97" w14:textId="034DDC8A" w:rsidR="00685FA7" w:rsidRDefault="00A60C96" w:rsidP="000636E8">
      <w:pPr>
        <w:jc w:val="center"/>
        <w:rPr>
          <w:rFonts w:ascii="Arial" w:hAnsi="Arial" w:cs="Arial"/>
          <w:sz w:val="18"/>
          <w:szCs w:val="18"/>
          <w:lang w:val="sk-SK"/>
        </w:rPr>
      </w:pPr>
      <w:r>
        <w:rPr>
          <w:noProof/>
        </w:rPr>
        <w:lastRenderedPageBreak/>
        <w:drawing>
          <wp:inline distT="0" distB="0" distL="0" distR="0" wp14:anchorId="5D124FB5" wp14:editId="2288A7BA">
            <wp:extent cx="4946596" cy="3528999"/>
            <wp:effectExtent l="0" t="0" r="6985" b="14605"/>
            <wp:docPr id="3" name="Chart 3">
              <a:extLst xmlns:a="http://schemas.openxmlformats.org/drawingml/2006/main">
                <a:ext uri="{FF2B5EF4-FFF2-40B4-BE49-F238E27FC236}">
                  <a16:creationId xmlns:a16="http://schemas.microsoft.com/office/drawing/2014/main" id="{61E743DE-7DEC-4293-9589-6BA6AD807B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F0794F" w14:textId="77777777" w:rsidR="00267880" w:rsidRDefault="00267880" w:rsidP="000636E8">
      <w:pPr>
        <w:jc w:val="center"/>
        <w:rPr>
          <w:rFonts w:ascii="Arial" w:hAnsi="Arial" w:cs="Arial"/>
          <w:sz w:val="18"/>
          <w:szCs w:val="18"/>
          <w:lang w:val="sk-SK"/>
        </w:rPr>
      </w:pPr>
    </w:p>
    <w:p w14:paraId="35EE47C9" w14:textId="28D8A9F5" w:rsidR="004B3EAD" w:rsidRDefault="004B3EAD" w:rsidP="00F12436">
      <w:pPr>
        <w:jc w:val="both"/>
        <w:rPr>
          <w:rFonts w:ascii="Arial" w:hAnsi="Arial" w:cs="Arial"/>
          <w:sz w:val="18"/>
          <w:szCs w:val="18"/>
          <w:lang w:val="sk-SK"/>
        </w:rPr>
      </w:pPr>
    </w:p>
    <w:p w14:paraId="4FCCA9C5" w14:textId="77777777" w:rsidR="00F51FDF" w:rsidRPr="00F51FDF" w:rsidRDefault="00F51FDF" w:rsidP="00F51FDF">
      <w:pPr>
        <w:jc w:val="both"/>
        <w:rPr>
          <w:rFonts w:ascii="Arial" w:hAnsi="Arial" w:cs="Arial"/>
          <w:bCs/>
          <w:sz w:val="18"/>
          <w:szCs w:val="18"/>
          <w:lang w:val="sk-SK"/>
        </w:rPr>
      </w:pPr>
    </w:p>
    <w:p w14:paraId="3B3D55E3" w14:textId="2941E15C" w:rsidR="00EE2A8D" w:rsidRPr="00F51FDF" w:rsidRDefault="00F51FDF" w:rsidP="00F51FDF">
      <w:pPr>
        <w:jc w:val="both"/>
        <w:rPr>
          <w:rFonts w:ascii="Arial" w:hAnsi="Arial" w:cs="Arial"/>
          <w:bCs/>
          <w:sz w:val="18"/>
          <w:szCs w:val="18"/>
          <w:lang w:val="sk-SK"/>
        </w:rPr>
      </w:pPr>
      <w:r w:rsidRPr="00F51FDF">
        <w:rPr>
          <w:rFonts w:ascii="Arial" w:hAnsi="Arial" w:cs="Arial"/>
          <w:bCs/>
          <w:sz w:val="18"/>
          <w:szCs w:val="18"/>
          <w:lang w:val="sk-SK"/>
        </w:rPr>
        <w:t xml:space="preserve">Pokiaľ ide o vlastnícku štruktúru, </w:t>
      </w:r>
      <w:r w:rsidR="00A60C96">
        <w:rPr>
          <w:rFonts w:ascii="Arial" w:hAnsi="Arial" w:cs="Arial"/>
          <w:bCs/>
          <w:sz w:val="18"/>
          <w:szCs w:val="18"/>
          <w:lang w:val="sk-SK"/>
        </w:rPr>
        <w:t xml:space="preserve">rovnako ako minulý kvartál, </w:t>
      </w:r>
      <w:r w:rsidR="00A52A50">
        <w:rPr>
          <w:rFonts w:ascii="Arial" w:hAnsi="Arial" w:cs="Arial"/>
          <w:bCs/>
          <w:sz w:val="18"/>
          <w:szCs w:val="18"/>
          <w:lang w:val="sk-SK"/>
        </w:rPr>
        <w:t>približne</w:t>
      </w:r>
      <w:r w:rsidRPr="00F51FDF">
        <w:rPr>
          <w:rFonts w:ascii="Arial" w:hAnsi="Arial" w:cs="Arial"/>
          <w:bCs/>
          <w:sz w:val="18"/>
          <w:szCs w:val="18"/>
          <w:lang w:val="sk-SK"/>
        </w:rPr>
        <w:t xml:space="preserve"> </w:t>
      </w:r>
      <w:r w:rsidR="00A52A50">
        <w:rPr>
          <w:rFonts w:ascii="Arial" w:hAnsi="Arial" w:cs="Arial"/>
          <w:bCs/>
          <w:sz w:val="18"/>
          <w:szCs w:val="18"/>
          <w:lang w:val="sk-SK"/>
        </w:rPr>
        <w:t>4</w:t>
      </w:r>
      <w:r w:rsidR="0029215C">
        <w:rPr>
          <w:rFonts w:ascii="Arial" w:hAnsi="Arial" w:cs="Arial"/>
          <w:bCs/>
          <w:sz w:val="18"/>
          <w:szCs w:val="18"/>
          <w:lang w:val="sk-SK"/>
        </w:rPr>
        <w:t xml:space="preserve"> </w:t>
      </w:r>
      <w:r w:rsidRPr="00F51FDF">
        <w:rPr>
          <w:rFonts w:ascii="Arial" w:hAnsi="Arial" w:cs="Arial"/>
          <w:bCs/>
          <w:sz w:val="18"/>
          <w:szCs w:val="18"/>
          <w:lang w:val="sk-SK"/>
        </w:rPr>
        <w:t xml:space="preserve">% budov </w:t>
      </w:r>
      <w:r w:rsidR="008979F0">
        <w:rPr>
          <w:rFonts w:ascii="Arial" w:hAnsi="Arial" w:cs="Arial"/>
          <w:bCs/>
          <w:sz w:val="18"/>
          <w:szCs w:val="18"/>
          <w:lang w:val="sk-SK"/>
        </w:rPr>
        <w:t>sú</w:t>
      </w:r>
      <w:r w:rsidRPr="00F51FDF">
        <w:rPr>
          <w:rFonts w:ascii="Arial" w:hAnsi="Arial" w:cs="Arial"/>
          <w:bCs/>
          <w:sz w:val="18"/>
          <w:szCs w:val="18"/>
          <w:lang w:val="sk-SK"/>
        </w:rPr>
        <w:t xml:space="preserve"> vo vlastníctve štátu a ďalších 1</w:t>
      </w:r>
      <w:r w:rsidR="00A52A50">
        <w:rPr>
          <w:rFonts w:ascii="Arial" w:hAnsi="Arial" w:cs="Arial"/>
          <w:bCs/>
          <w:sz w:val="18"/>
          <w:szCs w:val="18"/>
          <w:lang w:val="sk-SK"/>
        </w:rPr>
        <w:t>3</w:t>
      </w:r>
      <w:r w:rsidR="0029215C">
        <w:rPr>
          <w:rFonts w:ascii="Arial" w:hAnsi="Arial" w:cs="Arial"/>
          <w:bCs/>
          <w:sz w:val="18"/>
          <w:szCs w:val="18"/>
          <w:lang w:val="sk-SK"/>
        </w:rPr>
        <w:t xml:space="preserve"> </w:t>
      </w:r>
      <w:r w:rsidRPr="00F51FDF">
        <w:rPr>
          <w:rFonts w:ascii="Arial" w:hAnsi="Arial" w:cs="Arial"/>
          <w:bCs/>
          <w:sz w:val="18"/>
          <w:szCs w:val="18"/>
          <w:lang w:val="sk-SK"/>
        </w:rPr>
        <w:t xml:space="preserve">% </w:t>
      </w:r>
      <w:r w:rsidR="00513C03">
        <w:rPr>
          <w:rFonts w:ascii="Arial" w:hAnsi="Arial" w:cs="Arial"/>
          <w:bCs/>
          <w:sz w:val="18"/>
          <w:szCs w:val="18"/>
          <w:lang w:val="sk-SK"/>
        </w:rPr>
        <w:t>sú</w:t>
      </w:r>
      <w:r w:rsidRPr="00F51FDF">
        <w:rPr>
          <w:rFonts w:ascii="Arial" w:hAnsi="Arial" w:cs="Arial"/>
          <w:bCs/>
          <w:sz w:val="18"/>
          <w:szCs w:val="18"/>
          <w:lang w:val="sk-SK"/>
        </w:rPr>
        <w:t xml:space="preserve"> </w:t>
      </w:r>
      <w:r w:rsidR="00513C03" w:rsidRPr="00513C03">
        <w:rPr>
          <w:rFonts w:ascii="Arial" w:hAnsi="Arial" w:cs="Arial"/>
          <w:bCs/>
          <w:sz w:val="18"/>
          <w:szCs w:val="18"/>
          <w:lang w:val="sk-SK"/>
        </w:rPr>
        <w:t>budovy, ktoré sú vlastnené a plne obsadené tou istou entitou</w:t>
      </w:r>
      <w:r w:rsidR="008979F0">
        <w:rPr>
          <w:rFonts w:ascii="Arial" w:hAnsi="Arial" w:cs="Arial"/>
          <w:bCs/>
          <w:sz w:val="18"/>
          <w:szCs w:val="18"/>
          <w:lang w:val="sk-SK"/>
        </w:rPr>
        <w:t>. C</w:t>
      </w:r>
      <w:r w:rsidRPr="00F51FDF">
        <w:rPr>
          <w:rFonts w:ascii="Arial" w:hAnsi="Arial" w:cs="Arial"/>
          <w:bCs/>
          <w:sz w:val="18"/>
          <w:szCs w:val="18"/>
          <w:lang w:val="sk-SK"/>
        </w:rPr>
        <w:t>elkové zásoby na komerčné využitie zostávajú na 83</w:t>
      </w:r>
      <w:r w:rsidR="0029215C">
        <w:rPr>
          <w:rFonts w:ascii="Arial" w:hAnsi="Arial" w:cs="Arial"/>
          <w:bCs/>
          <w:sz w:val="18"/>
          <w:szCs w:val="18"/>
          <w:lang w:val="sk-SK"/>
        </w:rPr>
        <w:t xml:space="preserve"> </w:t>
      </w:r>
      <w:r w:rsidRPr="00F51FDF">
        <w:rPr>
          <w:rFonts w:ascii="Arial" w:hAnsi="Arial" w:cs="Arial"/>
          <w:bCs/>
          <w:sz w:val="18"/>
          <w:szCs w:val="18"/>
          <w:lang w:val="sk-SK"/>
        </w:rPr>
        <w:t>% z celkových moderných kancelárskych priestorov v Bratislave (alebo okolo 1,</w:t>
      </w:r>
      <w:r w:rsidR="00A52A50">
        <w:rPr>
          <w:rFonts w:ascii="Arial" w:hAnsi="Arial" w:cs="Arial"/>
          <w:bCs/>
          <w:sz w:val="18"/>
          <w:szCs w:val="18"/>
          <w:lang w:val="sk-SK"/>
        </w:rPr>
        <w:t>6</w:t>
      </w:r>
      <w:r w:rsidRPr="00F51FDF">
        <w:rPr>
          <w:rFonts w:ascii="Arial" w:hAnsi="Arial" w:cs="Arial"/>
          <w:bCs/>
          <w:sz w:val="18"/>
          <w:szCs w:val="18"/>
          <w:lang w:val="sk-SK"/>
        </w:rPr>
        <w:t xml:space="preserve"> mil.</w:t>
      </w:r>
      <w:r>
        <w:rPr>
          <w:rFonts w:ascii="Arial" w:hAnsi="Arial" w:cs="Arial"/>
          <w:bCs/>
          <w:sz w:val="18"/>
          <w:szCs w:val="18"/>
          <w:lang w:val="sk-SK"/>
        </w:rPr>
        <w:t xml:space="preserve"> m</w:t>
      </w:r>
      <w:r>
        <w:rPr>
          <w:rFonts w:ascii="Arial" w:hAnsi="Arial" w:cs="Arial"/>
          <w:bCs/>
          <w:sz w:val="18"/>
          <w:szCs w:val="18"/>
          <w:vertAlign w:val="superscript"/>
          <w:lang w:val="sk-SK"/>
        </w:rPr>
        <w:t>2</w:t>
      </w:r>
      <w:r w:rsidRPr="00F51FDF">
        <w:rPr>
          <w:rFonts w:ascii="Arial" w:hAnsi="Arial" w:cs="Arial"/>
          <w:bCs/>
          <w:sz w:val="18"/>
          <w:szCs w:val="18"/>
          <w:lang w:val="sk-SK"/>
        </w:rPr>
        <w:t>).</w:t>
      </w:r>
    </w:p>
    <w:p w14:paraId="23DF7D53" w14:textId="50164FB9" w:rsidR="00EE2A8D" w:rsidRPr="00EE2A8D" w:rsidRDefault="00EE2A8D" w:rsidP="00F12436">
      <w:pPr>
        <w:jc w:val="both"/>
        <w:rPr>
          <w:rFonts w:ascii="Arial" w:hAnsi="Arial" w:cs="Arial"/>
          <w:sz w:val="18"/>
          <w:szCs w:val="18"/>
          <w:lang w:val="sk-SK"/>
        </w:rPr>
      </w:pPr>
    </w:p>
    <w:p w14:paraId="603FB7D7" w14:textId="691FF3C1" w:rsidR="00A161F2" w:rsidRDefault="00A161F2" w:rsidP="00EE4F82">
      <w:pPr>
        <w:jc w:val="center"/>
        <w:rPr>
          <w:rFonts w:ascii="Arial" w:hAnsi="Arial" w:cs="Arial"/>
          <w:b/>
          <w:sz w:val="18"/>
          <w:szCs w:val="18"/>
          <w:lang w:val="sk-SK"/>
        </w:rPr>
      </w:pPr>
    </w:p>
    <w:p w14:paraId="21ED43FD" w14:textId="664E9DC9" w:rsidR="00886DFB" w:rsidRDefault="00886DFB" w:rsidP="00EE4F82">
      <w:pPr>
        <w:jc w:val="center"/>
        <w:rPr>
          <w:rFonts w:ascii="Arial" w:hAnsi="Arial" w:cs="Arial"/>
          <w:b/>
          <w:sz w:val="18"/>
          <w:szCs w:val="18"/>
          <w:lang w:val="sk-SK"/>
        </w:rPr>
      </w:pPr>
    </w:p>
    <w:p w14:paraId="71081018" w14:textId="29AAD07E" w:rsidR="00886DFB" w:rsidRPr="003A096D" w:rsidRDefault="00A52A50" w:rsidP="00EE4F82">
      <w:pPr>
        <w:jc w:val="center"/>
        <w:rPr>
          <w:rFonts w:ascii="Arial" w:hAnsi="Arial" w:cs="Arial"/>
          <w:b/>
          <w:sz w:val="18"/>
          <w:szCs w:val="18"/>
          <w:lang w:val="sk-SK"/>
        </w:rPr>
      </w:pPr>
      <w:r w:rsidRPr="00A52A50">
        <w:rPr>
          <w:noProof/>
        </w:rPr>
        <w:t xml:space="preserve"> </w:t>
      </w:r>
      <w:r w:rsidR="00005F56">
        <w:rPr>
          <w:noProof/>
        </w:rPr>
        <w:drawing>
          <wp:inline distT="0" distB="0" distL="0" distR="0" wp14:anchorId="190D2C98" wp14:editId="64A53B15">
            <wp:extent cx="6479540" cy="3248660"/>
            <wp:effectExtent l="0" t="0" r="16510" b="8890"/>
            <wp:docPr id="5" name="Chart 5">
              <a:extLst xmlns:a="http://schemas.openxmlformats.org/drawingml/2006/main">
                <a:ext uri="{FF2B5EF4-FFF2-40B4-BE49-F238E27FC236}">
                  <a16:creationId xmlns:a16="http://schemas.microsoft.com/office/drawing/2014/main" id="{7E856399-7D4B-4B19-89E2-9D3F104538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4E4283" w14:textId="595A7115" w:rsidR="00A161F2" w:rsidRDefault="00A161F2" w:rsidP="00F12436">
      <w:pPr>
        <w:jc w:val="both"/>
        <w:rPr>
          <w:rFonts w:ascii="Arial" w:hAnsi="Arial" w:cs="Arial"/>
          <w:b/>
          <w:lang w:val="sk-SK"/>
        </w:rPr>
      </w:pPr>
    </w:p>
    <w:p w14:paraId="4A36B54F" w14:textId="3C5A40E7" w:rsidR="00A161F2" w:rsidRDefault="00A161F2" w:rsidP="00F12436">
      <w:pPr>
        <w:jc w:val="both"/>
        <w:rPr>
          <w:rFonts w:ascii="Arial" w:hAnsi="Arial" w:cs="Arial"/>
          <w:b/>
          <w:lang w:val="sk-SK"/>
        </w:rPr>
      </w:pPr>
    </w:p>
    <w:p w14:paraId="0DEA529C" w14:textId="77777777" w:rsidR="008F7747" w:rsidRDefault="008F7747" w:rsidP="00F12436">
      <w:pPr>
        <w:jc w:val="both"/>
        <w:rPr>
          <w:rFonts w:ascii="Arial" w:hAnsi="Arial" w:cs="Arial"/>
          <w:b/>
          <w:lang w:val="sk-SK"/>
        </w:rPr>
      </w:pPr>
    </w:p>
    <w:p w14:paraId="5BBF61BF" w14:textId="0E89AFC3" w:rsidR="00F12436" w:rsidRPr="00574CAA" w:rsidRDefault="00F12436" w:rsidP="00F12436">
      <w:pPr>
        <w:jc w:val="both"/>
        <w:rPr>
          <w:rFonts w:ascii="Arial" w:hAnsi="Arial" w:cs="Arial"/>
          <w:b/>
          <w:lang w:val="sk-SK"/>
        </w:rPr>
      </w:pPr>
      <w:r w:rsidRPr="00574CAA">
        <w:rPr>
          <w:rFonts w:ascii="Arial" w:hAnsi="Arial" w:cs="Arial"/>
          <w:b/>
          <w:lang w:val="sk-SK"/>
        </w:rPr>
        <w:t>Zelené budovy</w:t>
      </w:r>
    </w:p>
    <w:p w14:paraId="5815BBC5" w14:textId="77777777" w:rsidR="00F12436" w:rsidRPr="00574CAA" w:rsidRDefault="00F12436" w:rsidP="00F12436">
      <w:pPr>
        <w:jc w:val="both"/>
        <w:rPr>
          <w:rFonts w:ascii="Arial" w:hAnsi="Arial" w:cs="Arial"/>
          <w:sz w:val="18"/>
          <w:szCs w:val="18"/>
          <w:lang w:val="sk-SK"/>
        </w:rPr>
      </w:pPr>
    </w:p>
    <w:p w14:paraId="0EBA8E25" w14:textId="3AAE8DD8" w:rsidR="00C86FA6" w:rsidRDefault="00C86FA6" w:rsidP="00C86FA6">
      <w:pPr>
        <w:jc w:val="both"/>
        <w:rPr>
          <w:rFonts w:ascii="Arial" w:hAnsi="Arial" w:cs="Arial"/>
          <w:sz w:val="18"/>
          <w:szCs w:val="18"/>
          <w:lang w:val="sk-SK"/>
        </w:rPr>
      </w:pPr>
      <w:r w:rsidRPr="00F5221C">
        <w:rPr>
          <w:rFonts w:ascii="Arial" w:hAnsi="Arial" w:cs="Arial"/>
          <w:sz w:val="18"/>
          <w:szCs w:val="18"/>
          <w:lang w:val="sk-SK"/>
        </w:rPr>
        <w:t>Celkovo máme v Bratislave až 6</w:t>
      </w:r>
      <w:r w:rsidR="00F5221C" w:rsidRPr="00F5221C">
        <w:rPr>
          <w:rFonts w:ascii="Arial" w:hAnsi="Arial" w:cs="Arial"/>
          <w:sz w:val="18"/>
          <w:szCs w:val="18"/>
          <w:lang w:val="sk-SK"/>
        </w:rPr>
        <w:t>7</w:t>
      </w:r>
      <w:r w:rsidRPr="00F5221C">
        <w:rPr>
          <w:rFonts w:ascii="Arial" w:hAnsi="Arial" w:cs="Arial"/>
          <w:sz w:val="18"/>
          <w:szCs w:val="18"/>
          <w:lang w:val="sk-SK"/>
        </w:rPr>
        <w:t>2</w:t>
      </w:r>
      <w:r w:rsidR="00F5221C" w:rsidRPr="00F5221C">
        <w:rPr>
          <w:rFonts w:ascii="Arial" w:hAnsi="Arial" w:cs="Arial"/>
          <w:sz w:val="18"/>
          <w:szCs w:val="18"/>
          <w:lang w:val="sk-SK"/>
        </w:rPr>
        <w:t>,7</w:t>
      </w:r>
      <w:r w:rsidRPr="00F5221C">
        <w:rPr>
          <w:rFonts w:ascii="Arial" w:hAnsi="Arial" w:cs="Arial"/>
          <w:sz w:val="18"/>
          <w:szCs w:val="18"/>
          <w:lang w:val="sk-SK"/>
        </w:rPr>
        <w:t>34 m</w:t>
      </w:r>
      <w:r w:rsidRPr="00F5221C">
        <w:rPr>
          <w:rFonts w:ascii="Arial" w:hAnsi="Arial" w:cs="Arial"/>
          <w:sz w:val="18"/>
          <w:szCs w:val="18"/>
          <w:vertAlign w:val="superscript"/>
          <w:lang w:val="sk-SK"/>
        </w:rPr>
        <w:t>2</w:t>
      </w:r>
      <w:r w:rsidRPr="00F5221C">
        <w:rPr>
          <w:rFonts w:ascii="Arial" w:hAnsi="Arial" w:cs="Arial"/>
          <w:sz w:val="18"/>
          <w:szCs w:val="18"/>
          <w:lang w:val="sk-SK"/>
        </w:rPr>
        <w:t xml:space="preserve"> kancelárskych priestorov s platným certifikátom zelenej/trvalo udržateľnej budovy. Jedná sa o 34 % celkového objemu kancelárskych priestorov v Bratislave, alebo 3</w:t>
      </w:r>
      <w:r w:rsidR="00F5221C" w:rsidRPr="00F5221C">
        <w:rPr>
          <w:rFonts w:ascii="Arial" w:hAnsi="Arial" w:cs="Arial"/>
          <w:sz w:val="18"/>
          <w:szCs w:val="18"/>
          <w:lang w:val="sk-SK"/>
        </w:rPr>
        <w:t>5</w:t>
      </w:r>
      <w:r w:rsidRPr="00F5221C">
        <w:rPr>
          <w:rFonts w:ascii="Arial" w:hAnsi="Arial" w:cs="Arial"/>
          <w:sz w:val="18"/>
          <w:szCs w:val="18"/>
          <w:lang w:val="sk-SK"/>
        </w:rPr>
        <w:t xml:space="preserve"> z</w:t>
      </w:r>
      <w:r w:rsidR="00F5221C" w:rsidRPr="00F5221C">
        <w:rPr>
          <w:rFonts w:ascii="Arial" w:hAnsi="Arial" w:cs="Arial"/>
          <w:sz w:val="18"/>
          <w:szCs w:val="18"/>
          <w:lang w:val="sk-SK"/>
        </w:rPr>
        <w:t> </w:t>
      </w:r>
      <w:r w:rsidRPr="00F5221C">
        <w:rPr>
          <w:rFonts w:ascii="Arial" w:hAnsi="Arial" w:cs="Arial"/>
          <w:sz w:val="18"/>
          <w:szCs w:val="18"/>
          <w:lang w:val="sk-SK"/>
        </w:rPr>
        <w:t>29</w:t>
      </w:r>
      <w:r w:rsidR="00F5221C">
        <w:rPr>
          <w:rFonts w:ascii="Arial" w:hAnsi="Arial" w:cs="Arial"/>
          <w:sz w:val="18"/>
          <w:szCs w:val="18"/>
          <w:lang w:val="sk-SK"/>
        </w:rPr>
        <w:t>4</w:t>
      </w:r>
      <w:r w:rsidRPr="00F5221C">
        <w:rPr>
          <w:rFonts w:ascii="Arial" w:hAnsi="Arial" w:cs="Arial"/>
          <w:sz w:val="18"/>
          <w:szCs w:val="18"/>
          <w:lang w:val="sk-SK"/>
        </w:rPr>
        <w:t xml:space="preserve"> budov. Z certifikovaného </w:t>
      </w:r>
      <w:proofErr w:type="spellStart"/>
      <w:r w:rsidRPr="00F5221C">
        <w:rPr>
          <w:rFonts w:ascii="Arial" w:hAnsi="Arial" w:cs="Arial"/>
          <w:sz w:val="18"/>
          <w:szCs w:val="18"/>
          <w:lang w:val="sk-SK"/>
        </w:rPr>
        <w:t>stocku</w:t>
      </w:r>
      <w:proofErr w:type="spellEnd"/>
      <w:r w:rsidRPr="00F5221C">
        <w:rPr>
          <w:rFonts w:ascii="Arial" w:hAnsi="Arial" w:cs="Arial"/>
          <w:sz w:val="18"/>
          <w:szCs w:val="18"/>
          <w:lang w:val="sk-SK"/>
        </w:rPr>
        <w:t xml:space="preserve"> má 62 % BREEAM, 4 % kombináciu BREEAM/WELL GOLD a 34 % LEED. Najvyššie hodnotenie BREEAM </w:t>
      </w:r>
      <w:proofErr w:type="spellStart"/>
      <w:r w:rsidRPr="00F5221C">
        <w:rPr>
          <w:rFonts w:ascii="Arial" w:hAnsi="Arial" w:cs="Arial"/>
          <w:sz w:val="18"/>
          <w:szCs w:val="18"/>
          <w:lang w:val="sk-SK"/>
        </w:rPr>
        <w:t>Outstanding</w:t>
      </w:r>
      <w:proofErr w:type="spellEnd"/>
      <w:r w:rsidRPr="00F5221C">
        <w:rPr>
          <w:rFonts w:ascii="Arial" w:hAnsi="Arial" w:cs="Arial"/>
          <w:sz w:val="18"/>
          <w:szCs w:val="18"/>
          <w:lang w:val="sk-SK"/>
        </w:rPr>
        <w:t xml:space="preserve"> má iba budova </w:t>
      </w:r>
      <w:proofErr w:type="spellStart"/>
      <w:r w:rsidRPr="00F5221C">
        <w:rPr>
          <w:rFonts w:ascii="Arial" w:hAnsi="Arial" w:cs="Arial"/>
          <w:sz w:val="18"/>
          <w:szCs w:val="18"/>
          <w:lang w:val="sk-SK"/>
        </w:rPr>
        <w:t>Twin</w:t>
      </w:r>
      <w:proofErr w:type="spellEnd"/>
      <w:r w:rsidRPr="00F5221C">
        <w:rPr>
          <w:rFonts w:ascii="Arial" w:hAnsi="Arial" w:cs="Arial"/>
          <w:sz w:val="18"/>
          <w:szCs w:val="18"/>
          <w:lang w:val="sk-SK"/>
        </w:rPr>
        <w:t xml:space="preserve"> City </w:t>
      </w:r>
      <w:proofErr w:type="spellStart"/>
      <w:r w:rsidRPr="00F5221C">
        <w:rPr>
          <w:rFonts w:ascii="Arial" w:hAnsi="Arial" w:cs="Arial"/>
          <w:sz w:val="18"/>
          <w:szCs w:val="18"/>
          <w:lang w:val="sk-SK"/>
        </w:rPr>
        <w:t>Tower</w:t>
      </w:r>
      <w:proofErr w:type="spellEnd"/>
      <w:r w:rsidRPr="00F5221C">
        <w:rPr>
          <w:rFonts w:ascii="Arial" w:hAnsi="Arial" w:cs="Arial"/>
          <w:sz w:val="18"/>
          <w:szCs w:val="18"/>
          <w:lang w:val="sk-SK"/>
        </w:rPr>
        <w:t xml:space="preserve">, a v prípade LEED </w:t>
      </w:r>
      <w:proofErr w:type="spellStart"/>
      <w:r w:rsidRPr="00F5221C">
        <w:rPr>
          <w:rFonts w:ascii="Arial" w:hAnsi="Arial" w:cs="Arial"/>
          <w:sz w:val="18"/>
          <w:szCs w:val="18"/>
          <w:lang w:val="sk-SK"/>
        </w:rPr>
        <w:t>Platinum</w:t>
      </w:r>
      <w:proofErr w:type="spellEnd"/>
      <w:r w:rsidRPr="00F5221C">
        <w:rPr>
          <w:rFonts w:ascii="Arial" w:hAnsi="Arial" w:cs="Arial"/>
          <w:sz w:val="18"/>
          <w:szCs w:val="18"/>
          <w:lang w:val="sk-SK"/>
        </w:rPr>
        <w:t xml:space="preserve"> ide o budovy </w:t>
      </w:r>
      <w:proofErr w:type="spellStart"/>
      <w:r w:rsidRPr="00F5221C">
        <w:rPr>
          <w:rFonts w:ascii="Arial" w:hAnsi="Arial" w:cs="Arial"/>
          <w:sz w:val="18"/>
          <w:szCs w:val="18"/>
          <w:lang w:val="sk-SK"/>
        </w:rPr>
        <w:t>Digital</w:t>
      </w:r>
      <w:proofErr w:type="spellEnd"/>
      <w:r w:rsidRPr="00F5221C">
        <w:rPr>
          <w:rFonts w:ascii="Arial" w:hAnsi="Arial" w:cs="Arial"/>
          <w:sz w:val="18"/>
          <w:szCs w:val="18"/>
          <w:lang w:val="sk-SK"/>
        </w:rPr>
        <w:t xml:space="preserve"> Park a </w:t>
      </w:r>
      <w:proofErr w:type="spellStart"/>
      <w:r w:rsidRPr="00F5221C">
        <w:rPr>
          <w:rFonts w:ascii="Arial" w:hAnsi="Arial" w:cs="Arial"/>
          <w:sz w:val="18"/>
          <w:szCs w:val="18"/>
          <w:lang w:val="sk-SK"/>
        </w:rPr>
        <w:t>Ein</w:t>
      </w:r>
      <w:proofErr w:type="spellEnd"/>
      <w:r w:rsidRPr="00F5221C">
        <w:rPr>
          <w:rFonts w:ascii="Arial" w:hAnsi="Arial" w:cs="Arial"/>
          <w:sz w:val="18"/>
          <w:szCs w:val="18"/>
          <w:lang w:val="sk-SK"/>
        </w:rPr>
        <w:t xml:space="preserve"> Park </w:t>
      </w:r>
      <w:proofErr w:type="spellStart"/>
      <w:r w:rsidRPr="00F5221C">
        <w:rPr>
          <w:rFonts w:ascii="Arial" w:hAnsi="Arial" w:cs="Arial"/>
          <w:sz w:val="18"/>
          <w:szCs w:val="18"/>
          <w:lang w:val="sk-SK"/>
        </w:rPr>
        <w:t>Offices</w:t>
      </w:r>
      <w:proofErr w:type="spellEnd"/>
      <w:r w:rsidRPr="00F5221C">
        <w:rPr>
          <w:rFonts w:ascii="Arial" w:hAnsi="Arial" w:cs="Arial"/>
          <w:sz w:val="18"/>
          <w:szCs w:val="18"/>
          <w:lang w:val="sk-SK"/>
        </w:rPr>
        <w:t>.</w:t>
      </w:r>
      <w:r w:rsidRPr="00F5221C">
        <w:t xml:space="preserve"> </w:t>
      </w:r>
      <w:r w:rsidRPr="00F5221C">
        <w:rPr>
          <w:rFonts w:ascii="Arial" w:hAnsi="Arial" w:cs="Arial"/>
          <w:sz w:val="18"/>
          <w:szCs w:val="18"/>
          <w:lang w:val="sk-SK"/>
        </w:rPr>
        <w:t>V</w:t>
      </w:r>
      <w:r w:rsidR="00F5221C" w:rsidRPr="00F5221C">
        <w:rPr>
          <w:rFonts w:ascii="Arial" w:hAnsi="Arial" w:cs="Arial"/>
          <w:sz w:val="18"/>
          <w:szCs w:val="18"/>
          <w:lang w:val="sk-SK"/>
        </w:rPr>
        <w:t> </w:t>
      </w:r>
      <w:r w:rsidR="002E60BE">
        <w:rPr>
          <w:rFonts w:ascii="Arial" w:hAnsi="Arial" w:cs="Arial"/>
          <w:sz w:val="18"/>
          <w:szCs w:val="18"/>
          <w:lang w:val="sk-SK"/>
        </w:rPr>
        <w:t>treťom</w:t>
      </w:r>
      <w:r w:rsidR="00F5221C" w:rsidRPr="00F5221C">
        <w:rPr>
          <w:rFonts w:ascii="Arial" w:hAnsi="Arial" w:cs="Arial"/>
          <w:sz w:val="18"/>
          <w:szCs w:val="18"/>
          <w:lang w:val="sk-SK"/>
        </w:rPr>
        <w:t xml:space="preserve"> kvartál</w:t>
      </w:r>
      <w:r w:rsidR="00005F56">
        <w:rPr>
          <w:rFonts w:ascii="Arial" w:hAnsi="Arial" w:cs="Arial"/>
          <w:sz w:val="18"/>
          <w:szCs w:val="18"/>
          <w:lang w:val="sk-SK"/>
        </w:rPr>
        <w:t>i</w:t>
      </w:r>
      <w:r w:rsidR="00F5221C" w:rsidRPr="00F5221C">
        <w:rPr>
          <w:rFonts w:ascii="Arial" w:hAnsi="Arial" w:cs="Arial"/>
          <w:sz w:val="18"/>
          <w:szCs w:val="18"/>
          <w:lang w:val="sk-SK"/>
        </w:rPr>
        <w:t xml:space="preserve"> dosiahla certifikáciu BREEAM EXCELLENT budova </w:t>
      </w:r>
      <w:proofErr w:type="spellStart"/>
      <w:r w:rsidR="00F5221C" w:rsidRPr="00F5221C">
        <w:rPr>
          <w:rFonts w:ascii="Arial" w:hAnsi="Arial" w:cs="Arial"/>
          <w:sz w:val="18"/>
          <w:szCs w:val="18"/>
          <w:lang w:val="sk-SK"/>
        </w:rPr>
        <w:t>Klingerka</w:t>
      </w:r>
      <w:proofErr w:type="spellEnd"/>
      <w:r w:rsidR="00F5221C" w:rsidRPr="00F5221C">
        <w:rPr>
          <w:rFonts w:ascii="Arial" w:hAnsi="Arial" w:cs="Arial"/>
          <w:sz w:val="18"/>
          <w:szCs w:val="18"/>
          <w:lang w:val="sk-SK"/>
        </w:rPr>
        <w:t xml:space="preserve"> Office.</w:t>
      </w:r>
    </w:p>
    <w:p w14:paraId="61BBDF68" w14:textId="77777777" w:rsidR="00C86FA6" w:rsidRDefault="00C86FA6" w:rsidP="00C86FA6">
      <w:pPr>
        <w:jc w:val="both"/>
        <w:rPr>
          <w:rFonts w:ascii="Arial" w:hAnsi="Arial" w:cs="Arial"/>
          <w:sz w:val="18"/>
          <w:szCs w:val="18"/>
          <w:lang w:val="sk-SK"/>
        </w:rPr>
      </w:pPr>
    </w:p>
    <w:p w14:paraId="051DAB82" w14:textId="09B38458" w:rsidR="00F12436" w:rsidRPr="005D218F" w:rsidRDefault="00F12436" w:rsidP="00F12436">
      <w:pPr>
        <w:jc w:val="both"/>
        <w:outlineLvl w:val="0"/>
        <w:rPr>
          <w:rFonts w:ascii="Arial" w:hAnsi="Arial" w:cs="Arial"/>
          <w:b/>
          <w:bCs/>
          <w:lang w:val="sk-SK"/>
        </w:rPr>
      </w:pPr>
      <w:r w:rsidRPr="005D218F">
        <w:rPr>
          <w:rFonts w:ascii="Arial" w:hAnsi="Arial" w:cs="Arial"/>
          <w:b/>
          <w:bCs/>
          <w:lang w:val="sk-SK"/>
        </w:rPr>
        <w:lastRenderedPageBreak/>
        <w:t>Tran</w:t>
      </w:r>
      <w:r>
        <w:rPr>
          <w:rFonts w:ascii="Arial" w:hAnsi="Arial" w:cs="Arial"/>
          <w:b/>
          <w:bCs/>
          <w:lang w:val="sk-SK"/>
        </w:rPr>
        <w:t>s</w:t>
      </w:r>
      <w:r w:rsidRPr="005D218F">
        <w:rPr>
          <w:rFonts w:ascii="Arial" w:hAnsi="Arial" w:cs="Arial"/>
          <w:b/>
          <w:bCs/>
          <w:lang w:val="sk-SK"/>
        </w:rPr>
        <w:t>akcie na trhu kancelárskych priestorov (</w:t>
      </w:r>
      <w:proofErr w:type="spellStart"/>
      <w:r w:rsidR="000E3223">
        <w:rPr>
          <w:rFonts w:ascii="Arial" w:hAnsi="Arial" w:cs="Arial"/>
          <w:b/>
          <w:bCs/>
          <w:lang w:val="sk-SK"/>
        </w:rPr>
        <w:t>o</w:t>
      </w:r>
      <w:r w:rsidRPr="005D218F">
        <w:rPr>
          <w:rFonts w:ascii="Arial" w:hAnsi="Arial" w:cs="Arial"/>
          <w:b/>
          <w:bCs/>
          <w:lang w:val="sk-SK"/>
        </w:rPr>
        <w:t>ffice</w:t>
      </w:r>
      <w:proofErr w:type="spellEnd"/>
      <w:r w:rsidRPr="005D218F">
        <w:rPr>
          <w:rFonts w:ascii="Arial" w:hAnsi="Arial" w:cs="Arial"/>
          <w:b/>
          <w:bCs/>
          <w:lang w:val="sk-SK"/>
        </w:rPr>
        <w:t xml:space="preserve"> </w:t>
      </w:r>
      <w:proofErr w:type="spellStart"/>
      <w:r w:rsidR="000E3223">
        <w:rPr>
          <w:rFonts w:ascii="Arial" w:hAnsi="Arial" w:cs="Arial"/>
          <w:b/>
          <w:bCs/>
          <w:lang w:val="sk-SK"/>
        </w:rPr>
        <w:t>t</w:t>
      </w:r>
      <w:r w:rsidRPr="005D218F">
        <w:rPr>
          <w:rFonts w:ascii="Arial" w:hAnsi="Arial" w:cs="Arial"/>
          <w:b/>
          <w:bCs/>
          <w:lang w:val="sk-SK"/>
        </w:rPr>
        <w:t>ake-up</w:t>
      </w:r>
      <w:proofErr w:type="spellEnd"/>
      <w:r w:rsidRPr="005D218F">
        <w:rPr>
          <w:rFonts w:ascii="Arial" w:hAnsi="Arial" w:cs="Arial"/>
          <w:b/>
          <w:bCs/>
          <w:lang w:val="sk-SK"/>
        </w:rPr>
        <w:t>)</w:t>
      </w:r>
    </w:p>
    <w:p w14:paraId="5E495784" w14:textId="77777777" w:rsidR="00F12436" w:rsidRPr="005D218F" w:rsidRDefault="00F12436" w:rsidP="00F12436">
      <w:pPr>
        <w:jc w:val="both"/>
        <w:rPr>
          <w:rFonts w:ascii="Arial" w:hAnsi="Arial" w:cs="Arial"/>
          <w:sz w:val="18"/>
          <w:szCs w:val="18"/>
          <w:lang w:val="sk-SK"/>
        </w:rPr>
      </w:pPr>
    </w:p>
    <w:p w14:paraId="6C471CA4" w14:textId="617923CB" w:rsidR="00AA54DC" w:rsidRPr="00AA54DC" w:rsidRDefault="00032318" w:rsidP="00AA54DC">
      <w:pPr>
        <w:jc w:val="both"/>
        <w:rPr>
          <w:rFonts w:ascii="Arial" w:hAnsi="Arial" w:cs="Arial"/>
          <w:sz w:val="18"/>
          <w:szCs w:val="18"/>
          <w:lang w:val="sk-SK" w:eastAsia="cs-CZ"/>
        </w:rPr>
      </w:pPr>
      <w:r>
        <w:rPr>
          <w:rFonts w:ascii="Arial" w:hAnsi="Arial" w:cs="Arial"/>
          <w:sz w:val="18"/>
          <w:szCs w:val="18"/>
          <w:lang w:val="sk-SK" w:eastAsia="cs-CZ"/>
        </w:rPr>
        <w:t>Nájomné t</w:t>
      </w:r>
      <w:r w:rsidR="002369CA" w:rsidRPr="002369CA">
        <w:rPr>
          <w:rFonts w:ascii="Arial" w:hAnsi="Arial" w:cs="Arial"/>
          <w:sz w:val="18"/>
          <w:szCs w:val="18"/>
          <w:lang w:val="sk-SK" w:eastAsia="cs-CZ"/>
        </w:rPr>
        <w:t>ransakcie</w:t>
      </w:r>
      <w:r>
        <w:rPr>
          <w:rFonts w:ascii="Arial" w:hAnsi="Arial" w:cs="Arial"/>
          <w:sz w:val="18"/>
          <w:szCs w:val="18"/>
          <w:lang w:val="sk-SK" w:eastAsia="cs-CZ"/>
        </w:rPr>
        <w:t xml:space="preserve"> dosiahli </w:t>
      </w:r>
      <w:r w:rsidR="002369CA" w:rsidRPr="002369CA">
        <w:rPr>
          <w:rFonts w:ascii="Arial" w:hAnsi="Arial" w:cs="Arial"/>
          <w:sz w:val="18"/>
          <w:szCs w:val="18"/>
          <w:lang w:val="sk-SK" w:eastAsia="cs-CZ"/>
        </w:rPr>
        <w:t>v</w:t>
      </w:r>
      <w:r w:rsidR="00A60C96">
        <w:rPr>
          <w:rFonts w:ascii="Arial" w:hAnsi="Arial" w:cs="Arial"/>
          <w:sz w:val="18"/>
          <w:szCs w:val="18"/>
          <w:lang w:val="sk-SK" w:eastAsia="cs-CZ"/>
        </w:rPr>
        <w:t> treťom</w:t>
      </w:r>
      <w:r w:rsidR="007A7F87">
        <w:rPr>
          <w:rFonts w:ascii="Arial" w:hAnsi="Arial" w:cs="Arial"/>
          <w:sz w:val="18"/>
          <w:szCs w:val="18"/>
          <w:lang w:val="sk-SK" w:eastAsia="cs-CZ"/>
        </w:rPr>
        <w:t xml:space="preserve"> </w:t>
      </w:r>
      <w:r w:rsidR="008D7190">
        <w:rPr>
          <w:rFonts w:ascii="Arial" w:hAnsi="Arial" w:cs="Arial"/>
          <w:sz w:val="18"/>
          <w:szCs w:val="18"/>
          <w:lang w:val="sk-SK" w:eastAsia="cs-CZ"/>
        </w:rPr>
        <w:t>štvrťroku</w:t>
      </w:r>
      <w:r w:rsidR="002369CA" w:rsidRPr="002369CA">
        <w:rPr>
          <w:rFonts w:ascii="Arial" w:hAnsi="Arial" w:cs="Arial"/>
          <w:sz w:val="18"/>
          <w:szCs w:val="18"/>
          <w:lang w:val="sk-SK" w:eastAsia="cs-CZ"/>
        </w:rPr>
        <w:t xml:space="preserve"> 202</w:t>
      </w:r>
      <w:r w:rsidR="006316C7">
        <w:rPr>
          <w:rFonts w:ascii="Arial" w:hAnsi="Arial" w:cs="Arial"/>
          <w:sz w:val="18"/>
          <w:szCs w:val="18"/>
          <w:lang w:val="sk-SK" w:eastAsia="cs-CZ"/>
        </w:rPr>
        <w:t>1</w:t>
      </w:r>
      <w:r>
        <w:rPr>
          <w:rFonts w:ascii="Arial" w:hAnsi="Arial" w:cs="Arial"/>
          <w:sz w:val="18"/>
          <w:szCs w:val="18"/>
          <w:lang w:val="sk-SK" w:eastAsia="cs-CZ"/>
        </w:rPr>
        <w:t xml:space="preserve"> celkovú výmeru </w:t>
      </w:r>
      <w:r w:rsidR="002369CA" w:rsidRPr="002369CA">
        <w:rPr>
          <w:rFonts w:ascii="Arial" w:hAnsi="Arial" w:cs="Arial"/>
          <w:sz w:val="18"/>
          <w:szCs w:val="18"/>
          <w:lang w:val="sk-SK" w:eastAsia="cs-CZ"/>
        </w:rPr>
        <w:t xml:space="preserve">cca. </w:t>
      </w:r>
      <w:r w:rsidR="00A60C96" w:rsidRPr="00A60C96">
        <w:rPr>
          <w:rFonts w:ascii="Arial" w:hAnsi="Arial" w:cs="Arial"/>
          <w:b/>
          <w:bCs/>
          <w:sz w:val="18"/>
          <w:szCs w:val="18"/>
          <w:lang w:val="sk-SK" w:eastAsia="cs-CZ"/>
        </w:rPr>
        <w:t>44</w:t>
      </w:r>
      <w:r w:rsidR="00005F56">
        <w:rPr>
          <w:rFonts w:ascii="Arial" w:hAnsi="Arial" w:cs="Arial"/>
          <w:b/>
          <w:bCs/>
          <w:sz w:val="18"/>
          <w:szCs w:val="18"/>
          <w:lang w:val="sk-SK" w:eastAsia="cs-CZ"/>
        </w:rPr>
        <w:t xml:space="preserve"> </w:t>
      </w:r>
      <w:r w:rsidR="00A60C96" w:rsidRPr="00A60C96">
        <w:rPr>
          <w:rFonts w:ascii="Arial" w:hAnsi="Arial" w:cs="Arial"/>
          <w:b/>
          <w:bCs/>
          <w:sz w:val="18"/>
          <w:szCs w:val="18"/>
          <w:lang w:val="sk-SK" w:eastAsia="cs-CZ"/>
        </w:rPr>
        <w:t>000</w:t>
      </w:r>
      <w:r w:rsidR="002369CA" w:rsidRPr="006316C7">
        <w:rPr>
          <w:rFonts w:ascii="Arial" w:hAnsi="Arial" w:cs="Arial"/>
          <w:b/>
          <w:bCs/>
          <w:sz w:val="18"/>
          <w:szCs w:val="18"/>
          <w:lang w:val="sk-SK" w:eastAsia="cs-CZ"/>
        </w:rPr>
        <w:t xml:space="preserve"> m</w:t>
      </w:r>
      <w:r w:rsidR="002369CA" w:rsidRPr="006316C7">
        <w:rPr>
          <w:rFonts w:ascii="Arial" w:hAnsi="Arial" w:cs="Arial"/>
          <w:b/>
          <w:bCs/>
          <w:sz w:val="18"/>
          <w:szCs w:val="18"/>
          <w:vertAlign w:val="superscript"/>
          <w:lang w:val="sk-SK" w:eastAsia="cs-CZ"/>
        </w:rPr>
        <w:t>2</w:t>
      </w:r>
      <w:r w:rsidR="002369CA" w:rsidRPr="002369CA">
        <w:rPr>
          <w:rFonts w:ascii="Arial" w:hAnsi="Arial" w:cs="Arial"/>
          <w:sz w:val="18"/>
          <w:szCs w:val="18"/>
          <w:lang w:val="sk-SK" w:eastAsia="cs-CZ"/>
        </w:rPr>
        <w:t xml:space="preserve">, čo </w:t>
      </w:r>
      <w:r>
        <w:rPr>
          <w:rFonts w:ascii="Arial" w:hAnsi="Arial" w:cs="Arial"/>
          <w:sz w:val="18"/>
          <w:szCs w:val="18"/>
          <w:lang w:val="sk-SK" w:eastAsia="cs-CZ"/>
        </w:rPr>
        <w:t>predstavuje</w:t>
      </w:r>
      <w:r w:rsidR="00E1125C">
        <w:rPr>
          <w:rFonts w:ascii="Arial" w:hAnsi="Arial" w:cs="Arial"/>
          <w:sz w:val="18"/>
          <w:szCs w:val="18"/>
          <w:lang w:val="sk-SK" w:eastAsia="cs-CZ"/>
        </w:rPr>
        <w:t xml:space="preserve"> </w:t>
      </w:r>
      <w:r w:rsidR="00005F56">
        <w:rPr>
          <w:rFonts w:ascii="Arial" w:hAnsi="Arial" w:cs="Arial"/>
          <w:sz w:val="18"/>
          <w:szCs w:val="18"/>
          <w:lang w:val="sk-SK" w:eastAsia="cs-CZ"/>
        </w:rPr>
        <w:t>takmer</w:t>
      </w:r>
      <w:r w:rsidR="002C5E3D" w:rsidRPr="002369CA">
        <w:rPr>
          <w:rFonts w:ascii="Arial" w:hAnsi="Arial" w:cs="Arial"/>
          <w:sz w:val="18"/>
          <w:szCs w:val="18"/>
          <w:lang w:val="sk-SK" w:eastAsia="cs-CZ"/>
        </w:rPr>
        <w:t xml:space="preserve"> </w:t>
      </w:r>
      <w:r w:rsidR="00A60C96">
        <w:rPr>
          <w:rFonts w:ascii="Arial" w:hAnsi="Arial" w:cs="Arial"/>
          <w:sz w:val="18"/>
          <w:szCs w:val="18"/>
          <w:lang w:val="sk-SK" w:eastAsia="cs-CZ"/>
        </w:rPr>
        <w:t>20</w:t>
      </w:r>
      <w:r w:rsidR="00400415">
        <w:rPr>
          <w:rFonts w:ascii="Arial" w:hAnsi="Arial" w:cs="Arial"/>
          <w:sz w:val="18"/>
          <w:szCs w:val="18"/>
          <w:lang w:val="sk-SK" w:eastAsia="cs-CZ"/>
        </w:rPr>
        <w:t xml:space="preserve">% </w:t>
      </w:r>
      <w:r w:rsidR="00A60C96">
        <w:rPr>
          <w:rFonts w:ascii="Arial" w:hAnsi="Arial" w:cs="Arial"/>
          <w:sz w:val="18"/>
          <w:szCs w:val="18"/>
          <w:lang w:val="sk-SK" w:eastAsia="cs-CZ"/>
        </w:rPr>
        <w:t>pokles</w:t>
      </w:r>
      <w:r w:rsidR="002369CA" w:rsidRPr="002369CA">
        <w:rPr>
          <w:rFonts w:ascii="Arial" w:hAnsi="Arial" w:cs="Arial"/>
          <w:sz w:val="18"/>
          <w:szCs w:val="18"/>
          <w:lang w:val="sk-SK" w:eastAsia="cs-CZ"/>
        </w:rPr>
        <w:t xml:space="preserve"> </w:t>
      </w:r>
      <w:r w:rsidR="008A44EB">
        <w:rPr>
          <w:rFonts w:ascii="Arial" w:hAnsi="Arial" w:cs="Arial"/>
          <w:sz w:val="18"/>
          <w:szCs w:val="18"/>
          <w:lang w:val="sk-SK" w:eastAsia="cs-CZ"/>
        </w:rPr>
        <w:t>transakcií</w:t>
      </w:r>
      <w:r>
        <w:rPr>
          <w:rFonts w:ascii="Arial" w:hAnsi="Arial" w:cs="Arial"/>
          <w:sz w:val="18"/>
          <w:szCs w:val="18"/>
          <w:lang w:val="sk-SK" w:eastAsia="cs-CZ"/>
        </w:rPr>
        <w:t xml:space="preserve"> </w:t>
      </w:r>
      <w:r w:rsidR="002369CA" w:rsidRPr="002369CA">
        <w:rPr>
          <w:rFonts w:ascii="Arial" w:hAnsi="Arial" w:cs="Arial"/>
          <w:sz w:val="18"/>
          <w:szCs w:val="18"/>
          <w:lang w:val="sk-SK" w:eastAsia="cs-CZ"/>
        </w:rPr>
        <w:t>v porovnaní s</w:t>
      </w:r>
      <w:r w:rsidR="007A7F87">
        <w:rPr>
          <w:rFonts w:ascii="Arial" w:hAnsi="Arial" w:cs="Arial"/>
          <w:sz w:val="18"/>
          <w:szCs w:val="18"/>
          <w:lang w:val="sk-SK" w:eastAsia="cs-CZ"/>
        </w:rPr>
        <w:t> </w:t>
      </w:r>
      <w:r>
        <w:rPr>
          <w:rFonts w:ascii="Arial" w:hAnsi="Arial" w:cs="Arial"/>
          <w:sz w:val="18"/>
          <w:szCs w:val="18"/>
          <w:lang w:val="sk-SK" w:eastAsia="cs-CZ"/>
        </w:rPr>
        <w:t>rovnakým</w:t>
      </w:r>
      <w:r w:rsidR="007A7F87">
        <w:rPr>
          <w:rFonts w:ascii="Arial" w:hAnsi="Arial" w:cs="Arial"/>
          <w:sz w:val="18"/>
          <w:szCs w:val="18"/>
          <w:lang w:val="sk-SK" w:eastAsia="cs-CZ"/>
        </w:rPr>
        <w:t xml:space="preserve"> </w:t>
      </w:r>
      <w:r w:rsidR="008D7190">
        <w:rPr>
          <w:rFonts w:ascii="Arial" w:hAnsi="Arial" w:cs="Arial"/>
          <w:sz w:val="18"/>
          <w:szCs w:val="18"/>
          <w:lang w:val="sk-SK" w:eastAsia="cs-CZ"/>
        </w:rPr>
        <w:t>štvrťrokom</w:t>
      </w:r>
      <w:r w:rsidR="002369CA" w:rsidRPr="002369CA">
        <w:rPr>
          <w:rFonts w:ascii="Arial" w:hAnsi="Arial" w:cs="Arial"/>
          <w:sz w:val="18"/>
          <w:szCs w:val="18"/>
          <w:lang w:val="sk-SK" w:eastAsia="cs-CZ"/>
        </w:rPr>
        <w:t xml:space="preserve"> </w:t>
      </w:r>
      <w:r>
        <w:rPr>
          <w:rFonts w:ascii="Arial" w:hAnsi="Arial" w:cs="Arial"/>
          <w:sz w:val="18"/>
          <w:szCs w:val="18"/>
          <w:lang w:val="sk-SK" w:eastAsia="cs-CZ"/>
        </w:rPr>
        <w:t>minulého</w:t>
      </w:r>
      <w:r w:rsidR="002369CA" w:rsidRPr="002369CA">
        <w:rPr>
          <w:rFonts w:ascii="Arial" w:hAnsi="Arial" w:cs="Arial"/>
          <w:sz w:val="18"/>
          <w:szCs w:val="18"/>
          <w:lang w:val="sk-SK" w:eastAsia="cs-CZ"/>
        </w:rPr>
        <w:t xml:space="preserve"> roka.</w:t>
      </w:r>
      <w:r w:rsidR="00400415">
        <w:rPr>
          <w:rFonts w:ascii="Arial" w:hAnsi="Arial" w:cs="Arial"/>
          <w:sz w:val="18"/>
          <w:szCs w:val="18"/>
          <w:lang w:val="sk-SK" w:eastAsia="cs-CZ"/>
        </w:rPr>
        <w:t xml:space="preserve"> </w:t>
      </w:r>
      <w:r w:rsidR="002369CA" w:rsidRPr="002369CA">
        <w:rPr>
          <w:rFonts w:ascii="Arial" w:hAnsi="Arial" w:cs="Arial"/>
          <w:sz w:val="18"/>
          <w:szCs w:val="18"/>
          <w:lang w:val="sk-SK" w:eastAsia="cs-CZ"/>
        </w:rPr>
        <w:t>Nové nájmy predstav</w:t>
      </w:r>
      <w:r w:rsidR="00AA54DC">
        <w:rPr>
          <w:rFonts w:ascii="Arial" w:hAnsi="Arial" w:cs="Arial"/>
          <w:sz w:val="18"/>
          <w:szCs w:val="18"/>
          <w:lang w:val="sk-SK" w:eastAsia="cs-CZ"/>
        </w:rPr>
        <w:t>ujú</w:t>
      </w:r>
      <w:r w:rsidR="002369CA" w:rsidRPr="002369CA">
        <w:rPr>
          <w:rFonts w:ascii="Arial" w:hAnsi="Arial" w:cs="Arial"/>
          <w:sz w:val="18"/>
          <w:szCs w:val="18"/>
          <w:lang w:val="sk-SK" w:eastAsia="cs-CZ"/>
        </w:rPr>
        <w:t xml:space="preserve"> </w:t>
      </w:r>
      <w:r w:rsidR="00A60C96">
        <w:rPr>
          <w:rFonts w:ascii="Arial" w:hAnsi="Arial" w:cs="Arial"/>
          <w:sz w:val="18"/>
          <w:szCs w:val="18"/>
          <w:lang w:val="sk-SK" w:eastAsia="cs-CZ"/>
        </w:rPr>
        <w:t>45</w:t>
      </w:r>
      <w:r>
        <w:rPr>
          <w:rFonts w:ascii="Arial" w:hAnsi="Arial" w:cs="Arial"/>
          <w:sz w:val="18"/>
          <w:szCs w:val="18"/>
          <w:lang w:val="sk-SK" w:eastAsia="cs-CZ"/>
        </w:rPr>
        <w:t xml:space="preserve"> </w:t>
      </w:r>
      <w:r w:rsidR="002369CA" w:rsidRPr="002369CA">
        <w:rPr>
          <w:rFonts w:ascii="Arial" w:hAnsi="Arial" w:cs="Arial"/>
          <w:sz w:val="18"/>
          <w:szCs w:val="18"/>
          <w:lang w:val="sk-SK" w:eastAsia="cs-CZ"/>
        </w:rPr>
        <w:t xml:space="preserve">%, </w:t>
      </w:r>
      <w:r w:rsidR="00AA54DC">
        <w:rPr>
          <w:rFonts w:ascii="Arial" w:hAnsi="Arial" w:cs="Arial"/>
          <w:sz w:val="18"/>
          <w:szCs w:val="18"/>
          <w:lang w:val="sk-SK"/>
        </w:rPr>
        <w:t>prerokovania súčasných nájmov</w:t>
      </w:r>
      <w:r w:rsidR="00AA54DC" w:rsidRPr="00CB446C">
        <w:rPr>
          <w:rFonts w:ascii="Arial" w:hAnsi="Arial" w:cs="Arial"/>
          <w:sz w:val="18"/>
          <w:szCs w:val="18"/>
          <w:lang w:val="sk-SK"/>
        </w:rPr>
        <w:t xml:space="preserve"> </w:t>
      </w:r>
      <w:r w:rsidR="00A60C96">
        <w:rPr>
          <w:rFonts w:ascii="Arial" w:hAnsi="Arial" w:cs="Arial"/>
          <w:sz w:val="18"/>
          <w:szCs w:val="18"/>
          <w:lang w:val="sk-SK"/>
        </w:rPr>
        <w:t>37</w:t>
      </w:r>
      <w:r>
        <w:rPr>
          <w:rFonts w:ascii="Arial" w:hAnsi="Arial" w:cs="Arial"/>
          <w:sz w:val="18"/>
          <w:szCs w:val="18"/>
          <w:lang w:val="sk-SK" w:eastAsia="cs-CZ"/>
        </w:rPr>
        <w:t xml:space="preserve"> </w:t>
      </w:r>
      <w:r w:rsidR="002369CA" w:rsidRPr="002369CA">
        <w:rPr>
          <w:rFonts w:ascii="Arial" w:hAnsi="Arial" w:cs="Arial"/>
          <w:sz w:val="18"/>
          <w:szCs w:val="18"/>
          <w:lang w:val="sk-SK" w:eastAsia="cs-CZ"/>
        </w:rPr>
        <w:t>%</w:t>
      </w:r>
      <w:r w:rsidR="00766C0F">
        <w:rPr>
          <w:rFonts w:ascii="Arial" w:hAnsi="Arial" w:cs="Arial"/>
          <w:sz w:val="18"/>
          <w:szCs w:val="18"/>
          <w:lang w:val="sk-SK" w:eastAsia="cs-CZ"/>
        </w:rPr>
        <w:t xml:space="preserve">, rozšírenia nájmov </w:t>
      </w:r>
      <w:r w:rsidR="0037381B">
        <w:rPr>
          <w:rFonts w:ascii="Arial" w:hAnsi="Arial" w:cs="Arial"/>
          <w:sz w:val="18"/>
          <w:szCs w:val="18"/>
          <w:lang w:val="sk-SK" w:eastAsia="cs-CZ"/>
        </w:rPr>
        <w:t>7</w:t>
      </w:r>
      <w:r w:rsidR="00766C0F">
        <w:rPr>
          <w:rFonts w:ascii="Arial" w:hAnsi="Arial" w:cs="Arial"/>
          <w:sz w:val="18"/>
          <w:szCs w:val="18"/>
          <w:lang w:val="sk-SK" w:eastAsia="cs-CZ"/>
        </w:rPr>
        <w:t xml:space="preserve"> %</w:t>
      </w:r>
      <w:r w:rsidR="00AA54DC">
        <w:rPr>
          <w:rFonts w:ascii="Arial" w:hAnsi="Arial" w:cs="Arial"/>
          <w:sz w:val="18"/>
          <w:szCs w:val="18"/>
          <w:lang w:val="sk-SK" w:eastAsia="cs-CZ"/>
        </w:rPr>
        <w:t xml:space="preserve"> </w:t>
      </w:r>
      <w:r w:rsidR="00E1125C">
        <w:rPr>
          <w:rFonts w:ascii="Arial" w:hAnsi="Arial" w:cs="Arial"/>
          <w:sz w:val="18"/>
          <w:szCs w:val="18"/>
          <w:lang w:val="sk-SK"/>
        </w:rPr>
        <w:t xml:space="preserve">a </w:t>
      </w:r>
      <w:proofErr w:type="spellStart"/>
      <w:r w:rsidR="00AA54DC">
        <w:rPr>
          <w:rFonts w:ascii="Arial" w:hAnsi="Arial" w:cs="Arial"/>
          <w:sz w:val="18"/>
          <w:szCs w:val="18"/>
          <w:lang w:val="sk-SK"/>
        </w:rPr>
        <w:t>predprenájm</w:t>
      </w:r>
      <w:r w:rsidR="00EA2331">
        <w:rPr>
          <w:rFonts w:ascii="Arial" w:hAnsi="Arial" w:cs="Arial"/>
          <w:sz w:val="18"/>
          <w:szCs w:val="18"/>
          <w:lang w:val="sk-SK"/>
        </w:rPr>
        <w:t>y</w:t>
      </w:r>
      <w:proofErr w:type="spellEnd"/>
      <w:r w:rsidR="00A52A50">
        <w:rPr>
          <w:rFonts w:ascii="Arial" w:hAnsi="Arial" w:cs="Arial"/>
          <w:sz w:val="18"/>
          <w:szCs w:val="18"/>
          <w:lang w:val="sk-SK"/>
        </w:rPr>
        <w:t xml:space="preserve"> </w:t>
      </w:r>
      <w:r w:rsidR="00A60C96">
        <w:rPr>
          <w:rFonts w:ascii="Arial" w:hAnsi="Arial" w:cs="Arial"/>
          <w:sz w:val="18"/>
          <w:szCs w:val="18"/>
          <w:lang w:val="sk-SK"/>
        </w:rPr>
        <w:t>zvyšných 11</w:t>
      </w:r>
      <w:r>
        <w:rPr>
          <w:rFonts w:ascii="Arial" w:hAnsi="Arial" w:cs="Arial"/>
          <w:sz w:val="18"/>
          <w:szCs w:val="18"/>
          <w:lang w:val="sk-SK"/>
        </w:rPr>
        <w:t xml:space="preserve"> </w:t>
      </w:r>
      <w:r w:rsidR="00A52A50">
        <w:rPr>
          <w:rFonts w:ascii="Arial" w:hAnsi="Arial" w:cs="Arial"/>
          <w:sz w:val="18"/>
          <w:szCs w:val="18"/>
          <w:lang w:val="sk-SK"/>
        </w:rPr>
        <w:t>%</w:t>
      </w:r>
      <w:r w:rsidR="00AA54DC">
        <w:rPr>
          <w:rFonts w:ascii="Arial" w:hAnsi="Arial" w:cs="Arial"/>
          <w:sz w:val="18"/>
          <w:szCs w:val="18"/>
          <w:lang w:val="sk-SK"/>
        </w:rPr>
        <w:t xml:space="preserve"> </w:t>
      </w:r>
      <w:r w:rsidRPr="002369CA">
        <w:rPr>
          <w:rFonts w:ascii="Arial" w:hAnsi="Arial" w:cs="Arial"/>
          <w:sz w:val="18"/>
          <w:szCs w:val="18"/>
          <w:lang w:val="sk-SK" w:eastAsia="cs-CZ"/>
        </w:rPr>
        <w:t>všetkých transakcií</w:t>
      </w:r>
      <w:r>
        <w:rPr>
          <w:rFonts w:ascii="Arial" w:hAnsi="Arial" w:cs="Arial"/>
          <w:sz w:val="18"/>
          <w:szCs w:val="18"/>
          <w:lang w:val="sk-SK" w:eastAsia="cs-CZ"/>
        </w:rPr>
        <w:t>.</w:t>
      </w:r>
      <w:r w:rsidR="006316C7" w:rsidRPr="006316C7">
        <w:rPr>
          <w:rFonts w:ascii="Arial" w:hAnsi="Arial" w:cs="Arial"/>
          <w:sz w:val="18"/>
          <w:szCs w:val="18"/>
          <w:lang w:val="en-US" w:eastAsia="cs-CZ"/>
        </w:rPr>
        <w:t xml:space="preserve"> </w:t>
      </w:r>
    </w:p>
    <w:p w14:paraId="08CAF276" w14:textId="7760694F" w:rsidR="00DE6732" w:rsidRDefault="00DE6732" w:rsidP="00E51D24">
      <w:pPr>
        <w:jc w:val="center"/>
        <w:rPr>
          <w:rFonts w:ascii="Arial" w:hAnsi="Arial" w:cs="Arial"/>
          <w:sz w:val="18"/>
          <w:szCs w:val="18"/>
          <w:lang w:val="sk-SK"/>
        </w:rPr>
      </w:pPr>
    </w:p>
    <w:p w14:paraId="491B6769" w14:textId="481D04BC" w:rsidR="00F63E88" w:rsidRDefault="00F63E88" w:rsidP="00624429">
      <w:pPr>
        <w:autoSpaceDE w:val="0"/>
        <w:autoSpaceDN w:val="0"/>
        <w:adjustRightInd w:val="0"/>
        <w:jc w:val="center"/>
        <w:rPr>
          <w:rFonts w:ascii="Arial" w:eastAsia="SimSun" w:hAnsi="Arial" w:cs="Arial"/>
          <w:sz w:val="18"/>
          <w:szCs w:val="18"/>
          <w:lang w:val="sk-SK" w:eastAsia="sk-SK"/>
        </w:rPr>
      </w:pPr>
    </w:p>
    <w:p w14:paraId="15D92387" w14:textId="1212D0C6" w:rsidR="00D71D96" w:rsidRDefault="00E1125C" w:rsidP="00D71D96">
      <w:pPr>
        <w:autoSpaceDE w:val="0"/>
        <w:autoSpaceDN w:val="0"/>
        <w:adjustRightInd w:val="0"/>
        <w:jc w:val="center"/>
        <w:rPr>
          <w:noProof/>
        </w:rPr>
      </w:pPr>
      <w:r w:rsidRPr="00E1125C">
        <w:rPr>
          <w:noProof/>
        </w:rPr>
        <w:t xml:space="preserve"> </w:t>
      </w:r>
      <w:r w:rsidR="00A60C96">
        <w:rPr>
          <w:noProof/>
        </w:rPr>
        <w:drawing>
          <wp:inline distT="0" distB="0" distL="0" distR="0" wp14:anchorId="76DFEF67" wp14:editId="07F03A75">
            <wp:extent cx="6045962" cy="3642392"/>
            <wp:effectExtent l="0" t="0" r="12065" b="15240"/>
            <wp:docPr id="1" name="Chart 1">
              <a:extLst xmlns:a="http://schemas.openxmlformats.org/drawingml/2006/main">
                <a:ext uri="{FF2B5EF4-FFF2-40B4-BE49-F238E27FC236}">
                  <a16:creationId xmlns:a16="http://schemas.microsoft.com/office/drawing/2014/main" id="{6E9E31E8-E3B8-4115-B862-FD43743CA2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36062A" w14:textId="77777777" w:rsidR="00A21AAB" w:rsidRDefault="00A21AAB" w:rsidP="00D71D96">
      <w:pPr>
        <w:autoSpaceDE w:val="0"/>
        <w:autoSpaceDN w:val="0"/>
        <w:adjustRightInd w:val="0"/>
        <w:jc w:val="center"/>
        <w:rPr>
          <w:rFonts w:ascii="Arial" w:eastAsia="SimSun" w:hAnsi="Arial" w:cs="Arial"/>
          <w:sz w:val="18"/>
          <w:szCs w:val="18"/>
          <w:lang w:val="sk-SK" w:eastAsia="sk-SK"/>
        </w:rPr>
      </w:pPr>
    </w:p>
    <w:p w14:paraId="6BB35D03" w14:textId="77777777" w:rsidR="00D71D96" w:rsidRDefault="00D71D96" w:rsidP="00D71D96">
      <w:pPr>
        <w:autoSpaceDE w:val="0"/>
        <w:autoSpaceDN w:val="0"/>
        <w:adjustRightInd w:val="0"/>
        <w:jc w:val="center"/>
        <w:rPr>
          <w:rFonts w:ascii="Arial" w:eastAsia="SimSun" w:hAnsi="Arial" w:cs="Arial"/>
          <w:sz w:val="18"/>
          <w:szCs w:val="18"/>
          <w:lang w:val="sk-SK" w:eastAsia="sk-SK"/>
        </w:rPr>
      </w:pPr>
    </w:p>
    <w:p w14:paraId="033C05B6" w14:textId="2B9AEEAD" w:rsidR="00F40A24" w:rsidRPr="00C97394" w:rsidRDefault="00D71D96" w:rsidP="00D71D96">
      <w:pPr>
        <w:autoSpaceDE w:val="0"/>
        <w:autoSpaceDN w:val="0"/>
        <w:adjustRightInd w:val="0"/>
        <w:rPr>
          <w:rFonts w:ascii="Arial" w:eastAsia="SimSun" w:hAnsi="Arial" w:cs="Arial"/>
          <w:sz w:val="18"/>
          <w:szCs w:val="18"/>
          <w:lang w:val="sk-SK" w:eastAsia="sk-SK"/>
        </w:rPr>
      </w:pPr>
      <w:r w:rsidRPr="00C97394">
        <w:rPr>
          <w:rFonts w:ascii="Arial" w:eastAsia="SimSun" w:hAnsi="Arial" w:cs="Arial"/>
          <w:sz w:val="18"/>
          <w:szCs w:val="18"/>
          <w:lang w:val="sk-SK"/>
        </w:rPr>
        <w:t xml:space="preserve">Najväčšia transakcia v tomto štvrťroku </w:t>
      </w:r>
      <w:r w:rsidR="000E6DDE" w:rsidRPr="00C97394">
        <w:rPr>
          <w:rFonts w:ascii="Arial" w:eastAsia="SimSun" w:hAnsi="Arial" w:cs="Arial"/>
          <w:sz w:val="18"/>
          <w:szCs w:val="18"/>
          <w:lang w:val="sk-SK"/>
        </w:rPr>
        <w:t xml:space="preserve">je </w:t>
      </w:r>
      <w:proofErr w:type="spellStart"/>
      <w:r w:rsidR="00A60C96">
        <w:rPr>
          <w:rFonts w:ascii="Arial" w:eastAsia="SimSun" w:hAnsi="Arial" w:cs="Arial"/>
          <w:sz w:val="18"/>
          <w:szCs w:val="18"/>
          <w:lang w:val="sk-SK"/>
        </w:rPr>
        <w:t>prednájomná</w:t>
      </w:r>
      <w:proofErr w:type="spellEnd"/>
      <w:r w:rsidR="000E6DDE" w:rsidRPr="00C97394">
        <w:rPr>
          <w:rFonts w:ascii="Arial" w:eastAsia="SimSun" w:hAnsi="Arial" w:cs="Arial"/>
          <w:sz w:val="18"/>
          <w:szCs w:val="18"/>
          <w:lang w:val="sk-SK"/>
        </w:rPr>
        <w:t xml:space="preserve"> zmluva</w:t>
      </w:r>
      <w:r w:rsidR="00C97394">
        <w:rPr>
          <w:rFonts w:ascii="Arial" w:eastAsia="SimSun" w:hAnsi="Arial" w:cs="Arial"/>
          <w:sz w:val="18"/>
          <w:szCs w:val="18"/>
          <w:lang w:val="sk-SK"/>
        </w:rPr>
        <w:t xml:space="preserve"> </w:t>
      </w:r>
      <w:r w:rsidR="00A60C96">
        <w:rPr>
          <w:rFonts w:ascii="Arial" w:eastAsia="SimSun" w:hAnsi="Arial" w:cs="Arial"/>
          <w:sz w:val="18"/>
          <w:szCs w:val="18"/>
          <w:lang w:val="sk-SK"/>
        </w:rPr>
        <w:t xml:space="preserve">v oblasti </w:t>
      </w:r>
      <w:r w:rsidR="008A44EB">
        <w:rPr>
          <w:rFonts w:ascii="Arial" w:eastAsia="SimSun" w:hAnsi="Arial" w:cs="Arial"/>
          <w:sz w:val="18"/>
          <w:szCs w:val="18"/>
          <w:lang w:val="sk-SK"/>
        </w:rPr>
        <w:t>Spotrebného tovaru</w:t>
      </w:r>
      <w:r w:rsidR="00C97394">
        <w:rPr>
          <w:rFonts w:ascii="Arial" w:eastAsia="SimSun" w:hAnsi="Arial" w:cs="Arial"/>
          <w:sz w:val="18"/>
          <w:szCs w:val="18"/>
          <w:lang w:val="sk-SK"/>
        </w:rPr>
        <w:t xml:space="preserve"> o výmere </w:t>
      </w:r>
      <w:r w:rsidR="00A60C96">
        <w:rPr>
          <w:rFonts w:ascii="Arial" w:eastAsia="SimSun" w:hAnsi="Arial" w:cs="Arial"/>
          <w:sz w:val="18"/>
          <w:szCs w:val="18"/>
          <w:lang w:val="sk-SK"/>
        </w:rPr>
        <w:t>5,000</w:t>
      </w:r>
      <w:r w:rsidR="0037381B">
        <w:rPr>
          <w:rFonts w:ascii="Arial" w:eastAsia="SimSun" w:hAnsi="Arial" w:cs="Arial"/>
          <w:sz w:val="18"/>
          <w:szCs w:val="18"/>
          <w:lang w:val="sk-SK"/>
        </w:rPr>
        <w:t xml:space="preserve"> m</w:t>
      </w:r>
      <w:r w:rsidR="0037381B">
        <w:rPr>
          <w:rFonts w:ascii="Arial" w:eastAsia="SimSun" w:hAnsi="Arial" w:cs="Arial"/>
          <w:sz w:val="18"/>
          <w:szCs w:val="18"/>
          <w:vertAlign w:val="superscript"/>
          <w:lang w:val="sk-SK"/>
        </w:rPr>
        <w:t>2</w:t>
      </w:r>
      <w:r w:rsidR="001E3752" w:rsidRPr="00C97394">
        <w:rPr>
          <w:rFonts w:ascii="Arial" w:eastAsia="SimSun" w:hAnsi="Arial" w:cs="Arial"/>
          <w:sz w:val="18"/>
          <w:szCs w:val="18"/>
          <w:lang w:val="sk-SK"/>
        </w:rPr>
        <w:t xml:space="preserve">, </w:t>
      </w:r>
      <w:r w:rsidR="00C97394">
        <w:rPr>
          <w:rFonts w:ascii="Arial" w:eastAsia="SimSun" w:hAnsi="Arial" w:cs="Arial"/>
          <w:sz w:val="18"/>
          <w:szCs w:val="18"/>
          <w:lang w:val="sk-SK"/>
        </w:rPr>
        <w:t>ale zaznamenávame aj ďalších 1</w:t>
      </w:r>
      <w:r w:rsidR="00A60C96">
        <w:rPr>
          <w:rFonts w:ascii="Arial" w:eastAsia="SimSun" w:hAnsi="Arial" w:cs="Arial"/>
          <w:sz w:val="18"/>
          <w:szCs w:val="18"/>
          <w:lang w:val="sk-SK"/>
        </w:rPr>
        <w:t>0</w:t>
      </w:r>
      <w:r w:rsidR="00C97394">
        <w:rPr>
          <w:rFonts w:ascii="Arial" w:eastAsia="SimSun" w:hAnsi="Arial" w:cs="Arial"/>
          <w:sz w:val="18"/>
          <w:szCs w:val="18"/>
          <w:lang w:val="sk-SK"/>
        </w:rPr>
        <w:t xml:space="preserve"> transakcií v individuálnej výmere prekračujúcej 1 000 m</w:t>
      </w:r>
      <w:r w:rsidR="00C97394" w:rsidRPr="00C97394">
        <w:rPr>
          <w:rFonts w:ascii="Arial" w:eastAsia="SimSun" w:hAnsi="Arial" w:cs="Arial"/>
          <w:sz w:val="18"/>
          <w:szCs w:val="18"/>
          <w:vertAlign w:val="superscript"/>
          <w:lang w:val="sk-SK"/>
        </w:rPr>
        <w:t>2</w:t>
      </w:r>
      <w:r w:rsidRPr="00C97394">
        <w:rPr>
          <w:rFonts w:ascii="Arial" w:eastAsia="SimSun" w:hAnsi="Arial" w:cs="Arial"/>
          <w:sz w:val="18"/>
          <w:szCs w:val="18"/>
          <w:lang w:val="sk-SK"/>
        </w:rPr>
        <w:t>.</w:t>
      </w:r>
    </w:p>
    <w:p w14:paraId="353F1603" w14:textId="77777777" w:rsidR="00D71D96" w:rsidRDefault="00D71D96" w:rsidP="00D006BA">
      <w:pPr>
        <w:jc w:val="both"/>
        <w:rPr>
          <w:rFonts w:ascii="Arial" w:eastAsia="SimSun" w:hAnsi="Arial" w:cs="Arial"/>
          <w:sz w:val="18"/>
          <w:szCs w:val="18"/>
          <w:lang w:val="sk-SK" w:eastAsia="sk-SK"/>
        </w:rPr>
      </w:pPr>
    </w:p>
    <w:p w14:paraId="764C8417" w14:textId="194508F9" w:rsidR="00A161F2" w:rsidRPr="00C97394" w:rsidRDefault="00F40A24" w:rsidP="00624604">
      <w:pPr>
        <w:rPr>
          <w:rFonts w:ascii="Arial" w:eastAsia="SimSun" w:hAnsi="Arial" w:cs="Arial"/>
          <w:sz w:val="18"/>
          <w:szCs w:val="18"/>
          <w:lang w:val="sk-SK" w:eastAsia="sk-SK"/>
        </w:rPr>
      </w:pPr>
      <w:r w:rsidRPr="00F40A24">
        <w:rPr>
          <w:rFonts w:ascii="Arial" w:eastAsia="SimSun" w:hAnsi="Arial" w:cs="Arial"/>
          <w:sz w:val="18"/>
          <w:szCs w:val="18"/>
          <w:lang w:val="sk-SK" w:eastAsia="sk-SK"/>
        </w:rPr>
        <w:t xml:space="preserve">Väčšina prenajatých priestorov v tomto </w:t>
      </w:r>
      <w:r w:rsidR="008D7190">
        <w:rPr>
          <w:rFonts w:ascii="Arial" w:eastAsia="SimSun" w:hAnsi="Arial" w:cs="Arial"/>
          <w:sz w:val="18"/>
          <w:szCs w:val="18"/>
          <w:lang w:val="sk-SK" w:eastAsia="sk-SK"/>
        </w:rPr>
        <w:t>štvrťroku</w:t>
      </w:r>
      <w:r w:rsidRPr="00F40A24">
        <w:rPr>
          <w:rFonts w:ascii="Arial" w:eastAsia="SimSun" w:hAnsi="Arial" w:cs="Arial"/>
          <w:sz w:val="18"/>
          <w:szCs w:val="18"/>
          <w:lang w:val="sk-SK" w:eastAsia="sk-SK"/>
        </w:rPr>
        <w:t xml:space="preserve"> bola prenajatá </w:t>
      </w:r>
      <w:r w:rsidR="002C5E3D">
        <w:rPr>
          <w:rFonts w:ascii="Arial" w:eastAsia="SimSun" w:hAnsi="Arial" w:cs="Arial"/>
          <w:sz w:val="18"/>
          <w:szCs w:val="18"/>
          <w:lang w:val="sk-SK" w:eastAsia="sk-SK"/>
        </w:rPr>
        <w:t>v rámci</w:t>
      </w:r>
      <w:r w:rsidR="002C5E3D" w:rsidRPr="00F40A24">
        <w:rPr>
          <w:rFonts w:ascii="Arial" w:eastAsia="SimSun" w:hAnsi="Arial" w:cs="Arial"/>
          <w:sz w:val="18"/>
          <w:szCs w:val="18"/>
          <w:lang w:val="sk-SK" w:eastAsia="sk-SK"/>
        </w:rPr>
        <w:t xml:space="preserve"> </w:t>
      </w:r>
      <w:r w:rsidR="00A60C96">
        <w:rPr>
          <w:rFonts w:ascii="Arial" w:eastAsia="SimSun" w:hAnsi="Arial" w:cs="Arial"/>
          <w:sz w:val="18"/>
          <w:szCs w:val="18"/>
          <w:lang w:val="sk-SK" w:eastAsia="sk-SK"/>
        </w:rPr>
        <w:t>profesionálnych služieb</w:t>
      </w:r>
      <w:r w:rsidR="00D71D96">
        <w:rPr>
          <w:rFonts w:ascii="Arial" w:eastAsia="SimSun" w:hAnsi="Arial" w:cs="Arial"/>
          <w:sz w:val="18"/>
          <w:szCs w:val="18"/>
          <w:lang w:val="sk-SK" w:eastAsia="sk-SK"/>
        </w:rPr>
        <w:t xml:space="preserve"> </w:t>
      </w:r>
      <w:r w:rsidRPr="00F40A24">
        <w:rPr>
          <w:rFonts w:ascii="Arial" w:eastAsia="SimSun" w:hAnsi="Arial" w:cs="Arial"/>
          <w:sz w:val="18"/>
          <w:szCs w:val="18"/>
          <w:lang w:val="sk-SK" w:eastAsia="sk-SK"/>
        </w:rPr>
        <w:t>(</w:t>
      </w:r>
      <w:r w:rsidR="00734E6E">
        <w:rPr>
          <w:rFonts w:ascii="Arial" w:eastAsia="SimSun" w:hAnsi="Arial" w:cs="Arial"/>
          <w:sz w:val="18"/>
          <w:szCs w:val="18"/>
          <w:lang w:val="sk-SK" w:eastAsia="sk-SK"/>
        </w:rPr>
        <w:t>2</w:t>
      </w:r>
      <w:r w:rsidR="00AF41C9">
        <w:rPr>
          <w:rFonts w:ascii="Arial" w:eastAsia="SimSun" w:hAnsi="Arial" w:cs="Arial"/>
          <w:sz w:val="18"/>
          <w:szCs w:val="18"/>
          <w:lang w:val="sk-SK" w:eastAsia="sk-SK"/>
        </w:rPr>
        <w:t>3</w:t>
      </w:r>
      <w:r w:rsidR="00C97394">
        <w:rPr>
          <w:rFonts w:ascii="Arial" w:eastAsia="SimSun" w:hAnsi="Arial" w:cs="Arial"/>
          <w:sz w:val="18"/>
          <w:szCs w:val="18"/>
          <w:lang w:val="sk-SK" w:eastAsia="sk-SK"/>
        </w:rPr>
        <w:t xml:space="preserve"> </w:t>
      </w:r>
      <w:r w:rsidR="00624604" w:rsidRPr="00C97394">
        <w:rPr>
          <w:rFonts w:ascii="Arial" w:eastAsia="SimSun" w:hAnsi="Arial" w:cs="Arial"/>
          <w:sz w:val="18"/>
          <w:szCs w:val="18"/>
          <w:lang w:val="sk-SK" w:eastAsia="sk-SK"/>
        </w:rPr>
        <w:t>%),</w:t>
      </w:r>
      <w:r w:rsidR="00C97394" w:rsidRPr="00C97394">
        <w:rPr>
          <w:rFonts w:ascii="Arial" w:eastAsia="SimSun" w:hAnsi="Arial" w:cs="Arial"/>
          <w:sz w:val="18"/>
          <w:szCs w:val="18"/>
          <w:lang w:val="sk-SK" w:eastAsia="sk-SK"/>
        </w:rPr>
        <w:t xml:space="preserve"> </w:t>
      </w:r>
      <w:r w:rsidR="00195D72">
        <w:rPr>
          <w:rFonts w:ascii="Arial" w:eastAsia="SimSun" w:hAnsi="Arial" w:cs="Arial"/>
          <w:sz w:val="18"/>
          <w:szCs w:val="18"/>
          <w:lang w:val="sk-SK" w:eastAsia="sk-SK"/>
        </w:rPr>
        <w:t>s</w:t>
      </w:r>
      <w:r w:rsidR="00195D72">
        <w:rPr>
          <w:rFonts w:ascii="Arial" w:hAnsi="Arial" w:cs="Arial"/>
          <w:sz w:val="18"/>
          <w:szCs w:val="14"/>
          <w:lang w:val="sk-SK" w:eastAsia="sk-SK"/>
        </w:rPr>
        <w:t>potrebného tovaru</w:t>
      </w:r>
      <w:r w:rsidR="00C97394" w:rsidRPr="00C97394">
        <w:rPr>
          <w:rFonts w:ascii="Arial" w:eastAsia="SimSun" w:hAnsi="Arial" w:cs="Arial"/>
          <w:sz w:val="18"/>
          <w:szCs w:val="18"/>
          <w:lang w:val="sk-SK" w:eastAsia="sk-SK"/>
        </w:rPr>
        <w:t xml:space="preserve"> </w:t>
      </w:r>
      <w:r w:rsidR="002E60BE">
        <w:rPr>
          <w:rFonts w:ascii="Arial" w:eastAsia="SimSun" w:hAnsi="Arial" w:cs="Arial"/>
          <w:sz w:val="18"/>
          <w:szCs w:val="18"/>
          <w:lang w:val="sk-SK" w:eastAsia="sk-SK"/>
        </w:rPr>
        <w:t xml:space="preserve">  </w:t>
      </w:r>
      <w:r w:rsidR="00C97394" w:rsidRPr="00C97394">
        <w:rPr>
          <w:rFonts w:ascii="Arial" w:eastAsia="SimSun" w:hAnsi="Arial" w:cs="Arial"/>
          <w:sz w:val="18"/>
          <w:szCs w:val="18"/>
          <w:lang w:val="sk-SK" w:eastAsia="sk-SK"/>
        </w:rPr>
        <w:t>(</w:t>
      </w:r>
      <w:r w:rsidR="00A60C96">
        <w:rPr>
          <w:rFonts w:ascii="Arial" w:eastAsia="SimSun" w:hAnsi="Arial" w:cs="Arial"/>
          <w:sz w:val="18"/>
          <w:szCs w:val="18"/>
          <w:lang w:val="sk-SK" w:eastAsia="sk-SK"/>
        </w:rPr>
        <w:t>21</w:t>
      </w:r>
      <w:r w:rsidR="00AF41C9">
        <w:rPr>
          <w:rFonts w:ascii="Arial" w:eastAsia="SimSun" w:hAnsi="Arial" w:cs="Arial"/>
          <w:sz w:val="18"/>
          <w:szCs w:val="18"/>
          <w:lang w:val="sk-SK" w:eastAsia="sk-SK"/>
        </w:rPr>
        <w:t xml:space="preserve"> </w:t>
      </w:r>
      <w:r w:rsidR="00C97394">
        <w:rPr>
          <w:rFonts w:ascii="Arial" w:eastAsia="SimSun" w:hAnsi="Arial" w:cs="Arial"/>
          <w:sz w:val="18"/>
          <w:szCs w:val="18"/>
          <w:lang w:val="sk-SK" w:eastAsia="sk-SK"/>
        </w:rPr>
        <w:t xml:space="preserve">%), </w:t>
      </w:r>
      <w:r w:rsidR="00A60C96">
        <w:rPr>
          <w:rFonts w:ascii="Arial" w:eastAsia="SimSun" w:hAnsi="Arial" w:cs="Arial"/>
          <w:sz w:val="18"/>
          <w:szCs w:val="18"/>
          <w:lang w:val="sk-SK" w:eastAsia="sk-SK"/>
        </w:rPr>
        <w:t>a vo verejnom sektore (1</w:t>
      </w:r>
      <w:r w:rsidR="0037381B">
        <w:rPr>
          <w:rFonts w:ascii="Arial" w:eastAsia="SimSun" w:hAnsi="Arial" w:cs="Arial"/>
          <w:sz w:val="18"/>
          <w:szCs w:val="18"/>
          <w:lang w:val="sk-SK" w:eastAsia="sk-SK"/>
        </w:rPr>
        <w:t xml:space="preserve">8 </w:t>
      </w:r>
      <w:r w:rsidR="00A60C96">
        <w:rPr>
          <w:rFonts w:ascii="Arial" w:eastAsia="SimSun" w:hAnsi="Arial" w:cs="Arial"/>
          <w:sz w:val="18"/>
          <w:szCs w:val="18"/>
          <w:lang w:val="sk-SK" w:eastAsia="sk-SK"/>
        </w:rPr>
        <w:t>%).</w:t>
      </w:r>
      <w:r w:rsidR="00761FA7">
        <w:rPr>
          <w:rFonts w:ascii="Arial" w:eastAsia="SimSun" w:hAnsi="Arial" w:cs="Arial"/>
          <w:sz w:val="18"/>
          <w:szCs w:val="18"/>
          <w:lang w:val="sk-SK" w:eastAsia="sk-SK"/>
        </w:rPr>
        <w:t xml:space="preserve"> </w:t>
      </w:r>
      <w:r w:rsidR="00761FA7" w:rsidRPr="008A58C5">
        <w:rPr>
          <w:rFonts w:ascii="Arial" w:eastAsia="SimSun" w:hAnsi="Arial" w:cs="Arial"/>
          <w:sz w:val="18"/>
          <w:szCs w:val="18"/>
          <w:lang w:val="sk-SK" w:eastAsia="sk-SK"/>
        </w:rPr>
        <w:t>Za zmienku stojí porovnanie prvých troch kvartálov v rokoch 2020 a 2021 kde evidujeme 27% nárast celkovej nájomnej aktivity (</w:t>
      </w:r>
      <w:proofErr w:type="spellStart"/>
      <w:r w:rsidR="00761FA7" w:rsidRPr="008A58C5">
        <w:rPr>
          <w:rFonts w:ascii="Arial" w:eastAsia="SimSun" w:hAnsi="Arial" w:cs="Arial"/>
          <w:sz w:val="18"/>
          <w:szCs w:val="18"/>
          <w:lang w:val="sk-SK" w:eastAsia="sk-SK"/>
        </w:rPr>
        <w:t>office</w:t>
      </w:r>
      <w:proofErr w:type="spellEnd"/>
      <w:r w:rsidR="00761FA7" w:rsidRPr="008A58C5">
        <w:rPr>
          <w:rFonts w:ascii="Arial" w:eastAsia="SimSun" w:hAnsi="Arial" w:cs="Arial"/>
          <w:sz w:val="18"/>
          <w:szCs w:val="18"/>
          <w:lang w:val="sk-SK" w:eastAsia="sk-SK"/>
        </w:rPr>
        <w:t xml:space="preserve"> </w:t>
      </w:r>
      <w:proofErr w:type="spellStart"/>
      <w:r w:rsidR="00761FA7" w:rsidRPr="008A58C5">
        <w:rPr>
          <w:rFonts w:ascii="Arial" w:eastAsia="SimSun" w:hAnsi="Arial" w:cs="Arial"/>
          <w:sz w:val="18"/>
          <w:szCs w:val="18"/>
          <w:lang w:val="sk-SK" w:eastAsia="sk-SK"/>
        </w:rPr>
        <w:t>take-up</w:t>
      </w:r>
      <w:proofErr w:type="spellEnd"/>
      <w:r w:rsidR="00761FA7" w:rsidRPr="008A58C5">
        <w:rPr>
          <w:rFonts w:ascii="Arial" w:eastAsia="SimSun" w:hAnsi="Arial" w:cs="Arial"/>
          <w:sz w:val="18"/>
          <w:szCs w:val="18"/>
          <w:lang w:val="sk-SK" w:eastAsia="sk-SK"/>
        </w:rPr>
        <w:t xml:space="preserve">), zatiaľ čo </w:t>
      </w:r>
      <w:proofErr w:type="spellStart"/>
      <w:r w:rsidR="00761FA7" w:rsidRPr="008A58C5">
        <w:rPr>
          <w:rFonts w:ascii="Arial" w:eastAsia="SimSun" w:hAnsi="Arial" w:cs="Arial"/>
          <w:sz w:val="18"/>
          <w:szCs w:val="18"/>
          <w:lang w:val="sk-SK" w:eastAsia="sk-SK"/>
        </w:rPr>
        <w:t>novoprenajaté</w:t>
      </w:r>
      <w:proofErr w:type="spellEnd"/>
      <w:r w:rsidR="00761FA7" w:rsidRPr="008A58C5">
        <w:rPr>
          <w:rFonts w:ascii="Arial" w:eastAsia="SimSun" w:hAnsi="Arial" w:cs="Arial"/>
          <w:sz w:val="18"/>
          <w:szCs w:val="18"/>
          <w:lang w:val="sk-SK" w:eastAsia="sk-SK"/>
        </w:rPr>
        <w:t xml:space="preserve"> plochy (celková nájomná aktivita bez prerokovaní) zaznamenali nárast až 79%.</w:t>
      </w:r>
    </w:p>
    <w:p w14:paraId="5C5104F8" w14:textId="6A07BC98" w:rsidR="00A570C8" w:rsidRDefault="00A570C8" w:rsidP="008221A0">
      <w:pPr>
        <w:rPr>
          <w:rFonts w:ascii="Arial" w:hAnsi="Arial" w:cs="Arial"/>
          <w:sz w:val="18"/>
          <w:szCs w:val="18"/>
          <w:lang w:val="sk-SK"/>
        </w:rPr>
      </w:pPr>
    </w:p>
    <w:p w14:paraId="45DAFB25" w14:textId="5400CF33" w:rsidR="005C4BDF" w:rsidRDefault="00C97394" w:rsidP="005C4BDF">
      <w:pPr>
        <w:jc w:val="center"/>
        <w:rPr>
          <w:rFonts w:ascii="Arial" w:hAnsi="Arial" w:cs="Arial"/>
          <w:sz w:val="18"/>
          <w:szCs w:val="18"/>
          <w:lang w:val="sk-SK"/>
        </w:rPr>
      </w:pPr>
      <w:r w:rsidRPr="00C97394">
        <w:rPr>
          <w:noProof/>
        </w:rPr>
        <w:t xml:space="preserve"> </w:t>
      </w:r>
      <w:r w:rsidR="00AF41C9">
        <w:rPr>
          <w:noProof/>
        </w:rPr>
        <w:drawing>
          <wp:inline distT="0" distB="0" distL="0" distR="0" wp14:anchorId="3E19BD48" wp14:editId="1B6F196D">
            <wp:extent cx="5867400" cy="3000375"/>
            <wp:effectExtent l="0" t="0" r="0" b="9525"/>
            <wp:docPr id="12" name="Chart 12">
              <a:extLst xmlns:a="http://schemas.openxmlformats.org/drawingml/2006/main">
                <a:ext uri="{FF2B5EF4-FFF2-40B4-BE49-F238E27FC236}">
                  <a16:creationId xmlns:a16="http://schemas.microsoft.com/office/drawing/2014/main" id="{0EE76521-E809-448D-A37D-08FD1D6F17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22DF05" w14:textId="41EE7C11" w:rsidR="005F5799" w:rsidRDefault="007877F9" w:rsidP="00624604">
      <w:pPr>
        <w:jc w:val="center"/>
        <w:rPr>
          <w:rFonts w:ascii="Arial" w:hAnsi="Arial" w:cs="Arial"/>
          <w:sz w:val="18"/>
          <w:szCs w:val="18"/>
          <w:lang w:val="sk-SK"/>
        </w:rPr>
      </w:pPr>
      <w:r w:rsidRPr="007877F9">
        <w:t xml:space="preserve"> </w:t>
      </w:r>
      <w:r>
        <w:t> </w:t>
      </w:r>
    </w:p>
    <w:p w14:paraId="1DD4C1E3" w14:textId="751A643A" w:rsidR="005F5799" w:rsidRDefault="005F5799" w:rsidP="008221A0">
      <w:pPr>
        <w:rPr>
          <w:rFonts w:ascii="Arial" w:hAnsi="Arial" w:cs="Arial"/>
          <w:sz w:val="18"/>
          <w:szCs w:val="18"/>
          <w:lang w:val="sk-SK"/>
        </w:rPr>
      </w:pPr>
    </w:p>
    <w:p w14:paraId="1083ECED" w14:textId="3024EA49" w:rsidR="00624604" w:rsidRDefault="00624604" w:rsidP="008221A0">
      <w:pPr>
        <w:rPr>
          <w:rFonts w:ascii="Arial" w:hAnsi="Arial" w:cs="Arial"/>
          <w:sz w:val="18"/>
          <w:szCs w:val="18"/>
          <w:lang w:val="sk-SK"/>
        </w:rPr>
      </w:pPr>
    </w:p>
    <w:p w14:paraId="133CB01D" w14:textId="1A3D07DA" w:rsidR="00624604" w:rsidRDefault="00624604" w:rsidP="008221A0">
      <w:pPr>
        <w:rPr>
          <w:rFonts w:ascii="Arial" w:hAnsi="Arial" w:cs="Arial"/>
          <w:sz w:val="18"/>
          <w:szCs w:val="18"/>
          <w:lang w:val="sk-SK"/>
        </w:rPr>
      </w:pPr>
    </w:p>
    <w:p w14:paraId="3262FC54" w14:textId="1A76FCF5" w:rsidR="00624604" w:rsidRDefault="00624604" w:rsidP="008221A0">
      <w:pPr>
        <w:rPr>
          <w:rFonts w:ascii="Arial" w:hAnsi="Arial" w:cs="Arial"/>
          <w:sz w:val="18"/>
          <w:szCs w:val="18"/>
          <w:lang w:val="sk-SK"/>
        </w:rPr>
      </w:pPr>
    </w:p>
    <w:p w14:paraId="61D2FFB2" w14:textId="76A82E72" w:rsidR="00624604" w:rsidRDefault="00624604" w:rsidP="008221A0">
      <w:pPr>
        <w:rPr>
          <w:rFonts w:ascii="Arial" w:hAnsi="Arial" w:cs="Arial"/>
          <w:sz w:val="18"/>
          <w:szCs w:val="18"/>
          <w:lang w:val="sk-SK"/>
        </w:rPr>
      </w:pPr>
    </w:p>
    <w:p w14:paraId="2D0AC300" w14:textId="10E7ACF2" w:rsidR="00624604" w:rsidRDefault="00624604" w:rsidP="008221A0">
      <w:pPr>
        <w:rPr>
          <w:rFonts w:ascii="Arial" w:hAnsi="Arial" w:cs="Arial"/>
          <w:sz w:val="18"/>
          <w:szCs w:val="18"/>
          <w:lang w:val="sk-SK"/>
        </w:rPr>
      </w:pPr>
    </w:p>
    <w:p w14:paraId="22E28081" w14:textId="66689E5E" w:rsidR="00624604" w:rsidRDefault="00624604" w:rsidP="008221A0">
      <w:pPr>
        <w:rPr>
          <w:rFonts w:ascii="Arial" w:hAnsi="Arial" w:cs="Arial"/>
          <w:sz w:val="18"/>
          <w:szCs w:val="18"/>
          <w:lang w:val="sk-SK"/>
        </w:rPr>
      </w:pPr>
    </w:p>
    <w:p w14:paraId="7F532F6A" w14:textId="1D46E7AB" w:rsidR="008B2FE3" w:rsidRPr="00AF41C9" w:rsidRDefault="008B2FE3" w:rsidP="00AF41C9">
      <w:pPr>
        <w:rPr>
          <w:rFonts w:ascii="Arial" w:hAnsi="Arial" w:cs="Arial"/>
          <w:sz w:val="18"/>
          <w:szCs w:val="18"/>
          <w:lang w:val="sk-SK"/>
        </w:rPr>
      </w:pPr>
      <w:r w:rsidRPr="005D218F">
        <w:rPr>
          <w:rFonts w:ascii="Arial" w:hAnsi="Arial" w:cs="Arial"/>
          <w:b/>
          <w:bCs/>
          <w:lang w:val="sk-SK"/>
        </w:rPr>
        <w:t xml:space="preserve">Významné transakcie </w:t>
      </w:r>
      <w:r>
        <w:rPr>
          <w:rFonts w:ascii="Arial" w:hAnsi="Arial" w:cs="Arial"/>
          <w:b/>
          <w:bCs/>
          <w:lang w:val="sk-SK"/>
        </w:rPr>
        <w:t xml:space="preserve">za </w:t>
      </w:r>
      <w:r w:rsidR="00AF41C9">
        <w:rPr>
          <w:rFonts w:ascii="Arial" w:hAnsi="Arial" w:cs="Arial"/>
          <w:b/>
          <w:bCs/>
          <w:lang w:val="sk-SK"/>
        </w:rPr>
        <w:t>3</w:t>
      </w:r>
      <w:r>
        <w:rPr>
          <w:rFonts w:ascii="Arial" w:hAnsi="Arial" w:cs="Arial"/>
          <w:b/>
          <w:bCs/>
          <w:lang w:val="sk-SK"/>
        </w:rPr>
        <w:t xml:space="preserve">. </w:t>
      </w:r>
      <w:r w:rsidR="008D7190">
        <w:rPr>
          <w:rFonts w:ascii="Arial" w:hAnsi="Arial" w:cs="Arial"/>
          <w:b/>
          <w:bCs/>
          <w:lang w:val="sk-SK"/>
        </w:rPr>
        <w:t>štvrťrok</w:t>
      </w:r>
      <w:r>
        <w:rPr>
          <w:rFonts w:ascii="Arial" w:hAnsi="Arial" w:cs="Arial"/>
          <w:b/>
          <w:bCs/>
          <w:lang w:val="sk-SK"/>
        </w:rPr>
        <w:t xml:space="preserve"> 202</w:t>
      </w:r>
      <w:r w:rsidR="00624604">
        <w:rPr>
          <w:rFonts w:ascii="Arial" w:hAnsi="Arial" w:cs="Arial"/>
          <w:b/>
          <w:bCs/>
          <w:lang w:val="sk-SK"/>
        </w:rPr>
        <w:t>1</w:t>
      </w:r>
      <w:r>
        <w:rPr>
          <w:rFonts w:ascii="Arial" w:hAnsi="Arial" w:cs="Arial"/>
          <w:b/>
          <w:bCs/>
          <w:lang w:val="sk-SK"/>
        </w:rPr>
        <w:t>:</w:t>
      </w:r>
    </w:p>
    <w:p w14:paraId="1FAA628F" w14:textId="50542DAB" w:rsidR="008B2FE3" w:rsidRDefault="008B2FE3" w:rsidP="008221A0">
      <w:pPr>
        <w:rPr>
          <w:rFonts w:ascii="Arial" w:hAnsi="Arial" w:cs="Arial"/>
          <w:sz w:val="18"/>
          <w:szCs w:val="18"/>
          <w:lang w:val="sk-SK"/>
        </w:rPr>
      </w:pPr>
    </w:p>
    <w:p w14:paraId="4868C8EB" w14:textId="76F0CA5E" w:rsidR="008B2FE3" w:rsidRDefault="008B2FE3" w:rsidP="008221A0">
      <w:pPr>
        <w:rPr>
          <w:rFonts w:ascii="Arial" w:hAnsi="Arial" w:cs="Arial"/>
          <w:sz w:val="18"/>
          <w:szCs w:val="18"/>
          <w:lang w:val="sk-SK"/>
        </w:rPr>
      </w:pPr>
    </w:p>
    <w:tbl>
      <w:tblPr>
        <w:tblStyle w:val="GridTable4-Accent1"/>
        <w:tblpPr w:leftFromText="180" w:rightFromText="180" w:vertAnchor="text" w:tblpY="1"/>
        <w:tblW w:w="9936" w:type="dxa"/>
        <w:tblLook w:val="04A0" w:firstRow="1" w:lastRow="0" w:firstColumn="1" w:lastColumn="0" w:noHBand="0" w:noVBand="1"/>
      </w:tblPr>
      <w:tblGrid>
        <w:gridCol w:w="2830"/>
        <w:gridCol w:w="1796"/>
        <w:gridCol w:w="3540"/>
        <w:gridCol w:w="1770"/>
      </w:tblGrid>
      <w:tr w:rsidR="0008452B" w:rsidRPr="002102E0" w14:paraId="48A5F2A0" w14:textId="77777777" w:rsidTr="002102E0">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4B68F515" w14:textId="19BFFB5C" w:rsidR="0008452B" w:rsidRPr="002102E0" w:rsidRDefault="008D5D4A" w:rsidP="002102E0">
            <w:pPr>
              <w:jc w:val="center"/>
              <w:rPr>
                <w:rFonts w:ascii="Arial" w:hAnsi="Arial" w:cs="Arial"/>
                <w:b w:val="0"/>
                <w:bCs w:val="0"/>
                <w:sz w:val="18"/>
                <w:szCs w:val="14"/>
                <w:lang w:val="en-US"/>
              </w:rPr>
            </w:pPr>
            <w:bookmarkStart w:id="4" w:name="_Hlk39059174"/>
            <w:r w:rsidRPr="002102E0">
              <w:rPr>
                <w:rFonts w:ascii="Arial" w:hAnsi="Arial" w:cs="Arial"/>
                <w:sz w:val="18"/>
                <w:szCs w:val="14"/>
                <w:lang w:val="en-US"/>
              </w:rPr>
              <w:t>Kancelárska budova</w:t>
            </w:r>
          </w:p>
        </w:tc>
        <w:tc>
          <w:tcPr>
            <w:tcW w:w="1796" w:type="dxa"/>
            <w:vAlign w:val="center"/>
            <w:hideMark/>
          </w:tcPr>
          <w:p w14:paraId="148F081D" w14:textId="0042D8A0" w:rsidR="0008452B" w:rsidRPr="002102E0" w:rsidRDefault="00000002" w:rsidP="002102E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4"/>
                <w:lang w:val="sk-SK" w:eastAsia="sk-SK"/>
              </w:rPr>
            </w:pPr>
            <w:r w:rsidRPr="002102E0">
              <w:rPr>
                <w:rFonts w:ascii="Arial" w:hAnsi="Arial" w:cs="Arial"/>
                <w:sz w:val="18"/>
                <w:szCs w:val="14"/>
                <w:lang w:val="sk-SK" w:eastAsia="sk-SK"/>
              </w:rPr>
              <w:t>Výmera</w:t>
            </w:r>
            <w:r w:rsidR="0008452B" w:rsidRPr="002102E0">
              <w:rPr>
                <w:rFonts w:ascii="Arial" w:hAnsi="Arial" w:cs="Arial"/>
                <w:sz w:val="18"/>
                <w:szCs w:val="14"/>
                <w:lang w:val="sk-SK" w:eastAsia="sk-SK"/>
              </w:rPr>
              <w:t xml:space="preserve"> (m</w:t>
            </w:r>
            <w:r w:rsidR="0037381B">
              <w:rPr>
                <w:rFonts w:ascii="Arial" w:hAnsi="Arial" w:cs="Arial"/>
                <w:sz w:val="18"/>
                <w:szCs w:val="14"/>
                <w:vertAlign w:val="superscript"/>
                <w:lang w:val="sk-SK" w:eastAsia="sk-SK"/>
              </w:rPr>
              <w:t>2</w:t>
            </w:r>
            <w:r w:rsidR="0008452B" w:rsidRPr="002102E0">
              <w:rPr>
                <w:rFonts w:ascii="Arial" w:hAnsi="Arial" w:cs="Arial"/>
                <w:sz w:val="18"/>
                <w:szCs w:val="14"/>
                <w:lang w:val="sk-SK" w:eastAsia="sk-SK"/>
              </w:rPr>
              <w:t>)</w:t>
            </w:r>
          </w:p>
        </w:tc>
        <w:tc>
          <w:tcPr>
            <w:tcW w:w="3540" w:type="dxa"/>
            <w:vAlign w:val="center"/>
            <w:hideMark/>
          </w:tcPr>
          <w:p w14:paraId="4E370013" w14:textId="105509F9" w:rsidR="0008452B" w:rsidRPr="002102E0" w:rsidRDefault="0008452B" w:rsidP="002102E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4"/>
                <w:lang w:val="sk-SK" w:eastAsia="sk-SK"/>
              </w:rPr>
            </w:pPr>
            <w:r w:rsidRPr="002102E0">
              <w:rPr>
                <w:rFonts w:ascii="Arial" w:hAnsi="Arial" w:cs="Arial"/>
                <w:sz w:val="18"/>
                <w:szCs w:val="14"/>
                <w:lang w:val="sk-SK" w:eastAsia="sk-SK"/>
              </w:rPr>
              <w:t>Sektor</w:t>
            </w:r>
          </w:p>
        </w:tc>
        <w:tc>
          <w:tcPr>
            <w:tcW w:w="1770" w:type="dxa"/>
            <w:vAlign w:val="center"/>
            <w:hideMark/>
          </w:tcPr>
          <w:p w14:paraId="2F0AB3F1" w14:textId="130E8DB7" w:rsidR="0008452B" w:rsidRPr="002102E0" w:rsidRDefault="008D5D4A" w:rsidP="002102E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4"/>
                <w:lang w:val="sk-SK" w:eastAsia="sk-SK"/>
              </w:rPr>
            </w:pPr>
            <w:r w:rsidRPr="002102E0">
              <w:rPr>
                <w:rFonts w:ascii="Arial" w:hAnsi="Arial" w:cs="Arial"/>
                <w:sz w:val="18"/>
                <w:szCs w:val="14"/>
                <w:lang w:val="sk-SK" w:eastAsia="sk-SK"/>
              </w:rPr>
              <w:t>Druh</w:t>
            </w:r>
            <w:r w:rsidR="0008452B" w:rsidRPr="002102E0">
              <w:rPr>
                <w:rFonts w:ascii="Arial" w:hAnsi="Arial" w:cs="Arial"/>
                <w:sz w:val="18"/>
                <w:szCs w:val="14"/>
                <w:lang w:val="sk-SK" w:eastAsia="sk-SK"/>
              </w:rPr>
              <w:t xml:space="preserve"> transakcie</w:t>
            </w:r>
          </w:p>
        </w:tc>
      </w:tr>
      <w:bookmarkEnd w:id="4"/>
      <w:tr w:rsidR="00A60C96" w:rsidRPr="002102E0" w14:paraId="6B1ADF45" w14:textId="77777777" w:rsidTr="00A60C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2159C84E" w14:textId="3E134ADF" w:rsidR="00A60C96" w:rsidRPr="002102E0" w:rsidRDefault="00A60C96" w:rsidP="00A60C96">
            <w:pPr>
              <w:rPr>
                <w:rFonts w:ascii="Arial" w:hAnsi="Arial" w:cs="Arial"/>
                <w:sz w:val="18"/>
                <w:szCs w:val="14"/>
                <w:lang w:val="sk-SK" w:eastAsia="sk-SK"/>
              </w:rPr>
            </w:pPr>
            <w:r>
              <w:rPr>
                <w:rFonts w:ascii="Arial" w:hAnsi="Arial" w:cs="Arial"/>
                <w:color w:val="000000" w:themeColor="text1"/>
                <w:sz w:val="18"/>
                <w:szCs w:val="18"/>
              </w:rPr>
              <w:t>BBC 6 (The Mill)</w:t>
            </w:r>
          </w:p>
        </w:tc>
        <w:tc>
          <w:tcPr>
            <w:tcW w:w="1796" w:type="dxa"/>
            <w:vAlign w:val="center"/>
            <w:hideMark/>
          </w:tcPr>
          <w:p w14:paraId="0C662C8F" w14:textId="0AE3BEF9" w:rsidR="00A60C96" w:rsidRPr="002102E0" w:rsidRDefault="00A60C96"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5,000</w:t>
            </w:r>
          </w:p>
        </w:tc>
        <w:tc>
          <w:tcPr>
            <w:tcW w:w="3540" w:type="dxa"/>
            <w:vAlign w:val="center"/>
            <w:hideMark/>
          </w:tcPr>
          <w:p w14:paraId="46C823B8" w14:textId="20DBB816" w:rsidR="00A60C96" w:rsidRPr="002102E0" w:rsidRDefault="00195D72"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Spotrebný tovar</w:t>
            </w:r>
          </w:p>
        </w:tc>
        <w:tc>
          <w:tcPr>
            <w:tcW w:w="1770" w:type="dxa"/>
            <w:vAlign w:val="center"/>
          </w:tcPr>
          <w:p w14:paraId="070F2569" w14:textId="03D5AC5A" w:rsidR="00A60C96" w:rsidRPr="002102E0" w:rsidRDefault="00A60C96"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Prednájomná zmluva</w:t>
            </w:r>
          </w:p>
        </w:tc>
      </w:tr>
      <w:tr w:rsidR="00A60C96" w:rsidRPr="002102E0" w14:paraId="37CBC41A" w14:textId="77777777" w:rsidTr="00A60C96">
        <w:trPr>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00F447C4" w14:textId="5B7F2083" w:rsidR="00A60C96" w:rsidRPr="002102E0" w:rsidRDefault="00A60C96" w:rsidP="00A60C96">
            <w:pPr>
              <w:rPr>
                <w:rFonts w:ascii="Arial" w:hAnsi="Arial" w:cs="Arial"/>
                <w:sz w:val="18"/>
                <w:szCs w:val="14"/>
                <w:lang w:val="sk-SK" w:eastAsia="sk-SK"/>
              </w:rPr>
            </w:pPr>
            <w:r>
              <w:rPr>
                <w:rFonts w:ascii="Arial" w:hAnsi="Arial" w:cs="Arial"/>
                <w:color w:val="000000" w:themeColor="text1"/>
                <w:sz w:val="18"/>
                <w:szCs w:val="18"/>
              </w:rPr>
              <w:t>Jurkovicova Teplaren</w:t>
            </w:r>
          </w:p>
        </w:tc>
        <w:tc>
          <w:tcPr>
            <w:tcW w:w="1796" w:type="dxa"/>
            <w:vAlign w:val="center"/>
            <w:hideMark/>
          </w:tcPr>
          <w:p w14:paraId="3671DAAF" w14:textId="5AB01037" w:rsidR="00A60C96" w:rsidRPr="002102E0" w:rsidRDefault="00A60C96"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3,540</w:t>
            </w:r>
          </w:p>
        </w:tc>
        <w:tc>
          <w:tcPr>
            <w:tcW w:w="3540" w:type="dxa"/>
            <w:vAlign w:val="center"/>
            <w:hideMark/>
          </w:tcPr>
          <w:p w14:paraId="48DF330F" w14:textId="3A7B2C2D" w:rsidR="00A60C96" w:rsidRPr="002102E0" w:rsidRDefault="00A60C96"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Profesionálne služby</w:t>
            </w:r>
          </w:p>
        </w:tc>
        <w:tc>
          <w:tcPr>
            <w:tcW w:w="1770" w:type="dxa"/>
            <w:vAlign w:val="center"/>
          </w:tcPr>
          <w:p w14:paraId="35B69054" w14:textId="3A3DDEF8" w:rsidR="00A60C96" w:rsidRPr="002102E0" w:rsidRDefault="00A60C96"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Nová zmluva</w:t>
            </w:r>
          </w:p>
        </w:tc>
      </w:tr>
      <w:tr w:rsidR="00A60C96" w:rsidRPr="002102E0" w14:paraId="2312EE93" w14:textId="77777777" w:rsidTr="00A60C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1F2EEE44" w14:textId="372EC837" w:rsidR="00A60C96" w:rsidRPr="002102E0" w:rsidRDefault="00A60C96" w:rsidP="00A60C96">
            <w:pPr>
              <w:rPr>
                <w:rFonts w:ascii="Arial" w:hAnsi="Arial" w:cs="Arial"/>
                <w:sz w:val="18"/>
                <w:szCs w:val="14"/>
                <w:lang w:val="sk-SK" w:eastAsia="sk-SK"/>
              </w:rPr>
            </w:pPr>
            <w:r>
              <w:rPr>
                <w:rFonts w:ascii="Arial" w:hAnsi="Arial" w:cs="Arial"/>
                <w:color w:val="000000" w:themeColor="text1"/>
                <w:sz w:val="18"/>
                <w:szCs w:val="18"/>
              </w:rPr>
              <w:t>Plus Centrum I</w:t>
            </w:r>
          </w:p>
        </w:tc>
        <w:tc>
          <w:tcPr>
            <w:tcW w:w="1796" w:type="dxa"/>
            <w:vAlign w:val="center"/>
            <w:hideMark/>
          </w:tcPr>
          <w:p w14:paraId="667771DB" w14:textId="279A38DC" w:rsidR="00A60C96" w:rsidRPr="002102E0" w:rsidRDefault="00A60C96"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3,300</w:t>
            </w:r>
          </w:p>
        </w:tc>
        <w:tc>
          <w:tcPr>
            <w:tcW w:w="3540" w:type="dxa"/>
            <w:vAlign w:val="center"/>
            <w:hideMark/>
          </w:tcPr>
          <w:p w14:paraId="0F57BF85" w14:textId="37287E38" w:rsidR="00A60C96" w:rsidRPr="002102E0" w:rsidRDefault="00A60C96"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Verejný sektor</w:t>
            </w:r>
          </w:p>
        </w:tc>
        <w:tc>
          <w:tcPr>
            <w:tcW w:w="1770" w:type="dxa"/>
            <w:vAlign w:val="center"/>
          </w:tcPr>
          <w:p w14:paraId="345B0671" w14:textId="51769B3C" w:rsidR="00A60C96" w:rsidRPr="002102E0" w:rsidRDefault="00A60C96"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Nová zmluva</w:t>
            </w:r>
          </w:p>
        </w:tc>
      </w:tr>
      <w:tr w:rsidR="00A60C96" w:rsidRPr="002102E0" w14:paraId="11DAF379" w14:textId="77777777" w:rsidTr="00A60C96">
        <w:trPr>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285748DB" w14:textId="0285380D" w:rsidR="00A60C96" w:rsidRPr="002102E0" w:rsidRDefault="00A60C96" w:rsidP="00A60C96">
            <w:pPr>
              <w:rPr>
                <w:rFonts w:ascii="Arial" w:hAnsi="Arial" w:cs="Arial"/>
                <w:sz w:val="18"/>
                <w:szCs w:val="14"/>
                <w:lang w:val="sk-SK" w:eastAsia="sk-SK"/>
              </w:rPr>
            </w:pPr>
            <w:r>
              <w:rPr>
                <w:rFonts w:ascii="Arial" w:hAnsi="Arial" w:cs="Arial"/>
                <w:color w:val="000000" w:themeColor="text1"/>
                <w:sz w:val="18"/>
                <w:szCs w:val="18"/>
              </w:rPr>
              <w:t>Digital Park II+III</w:t>
            </w:r>
          </w:p>
        </w:tc>
        <w:tc>
          <w:tcPr>
            <w:tcW w:w="1796" w:type="dxa"/>
            <w:vAlign w:val="center"/>
            <w:hideMark/>
          </w:tcPr>
          <w:p w14:paraId="3792D007" w14:textId="396EB707" w:rsidR="00A60C96" w:rsidRPr="002102E0" w:rsidRDefault="00A60C96"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2,900</w:t>
            </w:r>
          </w:p>
        </w:tc>
        <w:tc>
          <w:tcPr>
            <w:tcW w:w="3540" w:type="dxa"/>
            <w:hideMark/>
          </w:tcPr>
          <w:p w14:paraId="1643678D" w14:textId="20E0C13E" w:rsidR="00A60C96" w:rsidRPr="002102E0" w:rsidRDefault="00A60C96"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sidRPr="00B52806">
              <w:rPr>
                <w:rFonts w:ascii="Arial" w:hAnsi="Arial" w:cs="Arial"/>
                <w:sz w:val="18"/>
                <w:szCs w:val="14"/>
                <w:lang w:val="sk-SK" w:eastAsia="sk-SK"/>
              </w:rPr>
              <w:t>Profesionálne služby</w:t>
            </w:r>
          </w:p>
        </w:tc>
        <w:tc>
          <w:tcPr>
            <w:tcW w:w="1770" w:type="dxa"/>
            <w:vAlign w:val="center"/>
          </w:tcPr>
          <w:p w14:paraId="32E838E2" w14:textId="05AC85AC" w:rsidR="00A60C96" w:rsidRPr="002102E0" w:rsidRDefault="00A60C96"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Prerokovanie</w:t>
            </w:r>
          </w:p>
        </w:tc>
      </w:tr>
      <w:tr w:rsidR="00A60C96" w:rsidRPr="002102E0" w14:paraId="53E162AB" w14:textId="77777777" w:rsidTr="00A60C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17BB135F" w14:textId="5F010B01" w:rsidR="00A60C96" w:rsidRPr="002102E0" w:rsidRDefault="00A60C96" w:rsidP="00A60C96">
            <w:pPr>
              <w:rPr>
                <w:rFonts w:ascii="Arial" w:hAnsi="Arial" w:cs="Arial"/>
                <w:sz w:val="18"/>
                <w:szCs w:val="14"/>
                <w:lang w:val="sk-SK" w:eastAsia="sk-SK"/>
              </w:rPr>
            </w:pPr>
            <w:r>
              <w:rPr>
                <w:rFonts w:ascii="Arial" w:hAnsi="Arial" w:cs="Arial"/>
                <w:color w:val="000000" w:themeColor="text1"/>
                <w:sz w:val="18"/>
                <w:szCs w:val="18"/>
              </w:rPr>
              <w:t>Eurovea Central</w:t>
            </w:r>
          </w:p>
        </w:tc>
        <w:tc>
          <w:tcPr>
            <w:tcW w:w="1796" w:type="dxa"/>
            <w:vAlign w:val="center"/>
            <w:hideMark/>
          </w:tcPr>
          <w:p w14:paraId="7EE2CFA4" w14:textId="6EA460B9" w:rsidR="00A60C96" w:rsidRPr="002102E0" w:rsidRDefault="00A60C96"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2,300</w:t>
            </w:r>
          </w:p>
        </w:tc>
        <w:tc>
          <w:tcPr>
            <w:tcW w:w="3540" w:type="dxa"/>
            <w:hideMark/>
          </w:tcPr>
          <w:p w14:paraId="5E44C641" w14:textId="75F186CE" w:rsidR="00A60C96" w:rsidRPr="002102E0" w:rsidRDefault="00A60C96"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sidRPr="00B52806">
              <w:rPr>
                <w:rFonts w:ascii="Arial" w:hAnsi="Arial" w:cs="Arial"/>
                <w:sz w:val="18"/>
                <w:szCs w:val="14"/>
                <w:lang w:val="sk-SK" w:eastAsia="sk-SK"/>
              </w:rPr>
              <w:t>Profesionálne služby</w:t>
            </w:r>
          </w:p>
        </w:tc>
        <w:tc>
          <w:tcPr>
            <w:tcW w:w="1770" w:type="dxa"/>
            <w:vAlign w:val="center"/>
          </w:tcPr>
          <w:p w14:paraId="0F76993D" w14:textId="27D1DFA2" w:rsidR="00A60C96" w:rsidRPr="002102E0" w:rsidRDefault="00A60C96"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Prerokovanie</w:t>
            </w:r>
          </w:p>
        </w:tc>
      </w:tr>
      <w:tr w:rsidR="00A60C96" w:rsidRPr="002102E0" w14:paraId="2D7E795A" w14:textId="77777777" w:rsidTr="00A60C96">
        <w:trPr>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08932C17" w14:textId="5E0B05CA" w:rsidR="00A60C96" w:rsidRPr="002102E0" w:rsidRDefault="00A60C96" w:rsidP="00A60C96">
            <w:pPr>
              <w:rPr>
                <w:rFonts w:ascii="Arial" w:hAnsi="Arial" w:cs="Arial"/>
                <w:sz w:val="18"/>
                <w:szCs w:val="14"/>
                <w:lang w:val="sk-SK" w:eastAsia="sk-SK"/>
              </w:rPr>
            </w:pPr>
            <w:r>
              <w:rPr>
                <w:rFonts w:ascii="Arial" w:hAnsi="Arial" w:cs="Arial"/>
                <w:color w:val="000000" w:themeColor="text1"/>
                <w:sz w:val="18"/>
                <w:szCs w:val="18"/>
              </w:rPr>
              <w:t>Pradiaren 1900</w:t>
            </w:r>
          </w:p>
        </w:tc>
        <w:tc>
          <w:tcPr>
            <w:tcW w:w="1796" w:type="dxa"/>
            <w:vAlign w:val="center"/>
            <w:hideMark/>
          </w:tcPr>
          <w:p w14:paraId="110F2C66" w14:textId="17550DFD" w:rsidR="00A60C96" w:rsidRPr="002102E0" w:rsidRDefault="00A60C96"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1,541</w:t>
            </w:r>
          </w:p>
        </w:tc>
        <w:tc>
          <w:tcPr>
            <w:tcW w:w="3540" w:type="dxa"/>
            <w:vAlign w:val="center"/>
            <w:hideMark/>
          </w:tcPr>
          <w:p w14:paraId="0E2707D2" w14:textId="27263BA4" w:rsidR="00A60C96" w:rsidRPr="002102E0" w:rsidRDefault="00A60C96"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Financie</w:t>
            </w:r>
          </w:p>
        </w:tc>
        <w:tc>
          <w:tcPr>
            <w:tcW w:w="1770" w:type="dxa"/>
            <w:vAlign w:val="center"/>
          </w:tcPr>
          <w:p w14:paraId="0A63B0B3" w14:textId="4E2E38EB" w:rsidR="00A60C96" w:rsidRPr="002102E0" w:rsidRDefault="00A60C96"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Nová zmluva</w:t>
            </w:r>
          </w:p>
        </w:tc>
      </w:tr>
      <w:tr w:rsidR="00A60C96" w:rsidRPr="002102E0" w14:paraId="665254E0" w14:textId="77777777" w:rsidTr="00A60C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68023F9E" w14:textId="5374145D" w:rsidR="00A60C96" w:rsidRPr="002102E0" w:rsidRDefault="00A60C96" w:rsidP="00A60C96">
            <w:pPr>
              <w:rPr>
                <w:rFonts w:ascii="Arial" w:hAnsi="Arial" w:cs="Arial"/>
                <w:sz w:val="18"/>
                <w:szCs w:val="14"/>
                <w:lang w:val="sk-SK" w:eastAsia="sk-SK"/>
              </w:rPr>
            </w:pPr>
            <w:r>
              <w:rPr>
                <w:rFonts w:ascii="Arial" w:hAnsi="Arial" w:cs="Arial"/>
                <w:color w:val="000000" w:themeColor="text1"/>
                <w:sz w:val="18"/>
                <w:szCs w:val="18"/>
              </w:rPr>
              <w:t>Park One</w:t>
            </w:r>
          </w:p>
        </w:tc>
        <w:tc>
          <w:tcPr>
            <w:tcW w:w="1796" w:type="dxa"/>
            <w:vAlign w:val="center"/>
            <w:hideMark/>
          </w:tcPr>
          <w:p w14:paraId="394F8D01" w14:textId="12F6A0CA" w:rsidR="00A60C96" w:rsidRPr="002102E0" w:rsidRDefault="00A60C96"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1,527</w:t>
            </w:r>
          </w:p>
        </w:tc>
        <w:tc>
          <w:tcPr>
            <w:tcW w:w="3540" w:type="dxa"/>
            <w:vAlign w:val="center"/>
            <w:hideMark/>
          </w:tcPr>
          <w:p w14:paraId="3BE13BD3" w14:textId="259DC8F5" w:rsidR="00A60C96" w:rsidRPr="002102E0" w:rsidRDefault="00A60C96"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Verejný sektor</w:t>
            </w:r>
          </w:p>
        </w:tc>
        <w:tc>
          <w:tcPr>
            <w:tcW w:w="1770" w:type="dxa"/>
            <w:vAlign w:val="center"/>
          </w:tcPr>
          <w:p w14:paraId="4AC0ED09" w14:textId="03DBB87A" w:rsidR="00A60C96" w:rsidRPr="002102E0" w:rsidRDefault="00A60C96"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Rozšírenie nájmov</w:t>
            </w:r>
          </w:p>
        </w:tc>
      </w:tr>
      <w:tr w:rsidR="00A60C96" w:rsidRPr="002102E0" w14:paraId="51C262C3" w14:textId="77777777" w:rsidTr="00A60C96">
        <w:trPr>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7F8EF0B6" w14:textId="36263603" w:rsidR="00A60C96" w:rsidRPr="002102E0" w:rsidRDefault="00A60C96" w:rsidP="00A60C96">
            <w:pPr>
              <w:rPr>
                <w:rFonts w:ascii="Arial" w:hAnsi="Arial" w:cs="Arial"/>
                <w:sz w:val="18"/>
                <w:szCs w:val="14"/>
                <w:lang w:val="sk-SK" w:eastAsia="sk-SK"/>
              </w:rPr>
            </w:pPr>
            <w:r>
              <w:rPr>
                <w:rFonts w:ascii="Arial" w:hAnsi="Arial" w:cs="Arial"/>
                <w:sz w:val="18"/>
                <w:szCs w:val="18"/>
              </w:rPr>
              <w:t>City Business Center I</w:t>
            </w:r>
          </w:p>
        </w:tc>
        <w:tc>
          <w:tcPr>
            <w:tcW w:w="1796" w:type="dxa"/>
            <w:vAlign w:val="center"/>
            <w:hideMark/>
          </w:tcPr>
          <w:p w14:paraId="29B56011" w14:textId="6AF22C3A" w:rsidR="00A60C96" w:rsidRPr="002102E0" w:rsidRDefault="00A60C96"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1,390</w:t>
            </w:r>
          </w:p>
        </w:tc>
        <w:tc>
          <w:tcPr>
            <w:tcW w:w="3540" w:type="dxa"/>
            <w:vAlign w:val="center"/>
            <w:hideMark/>
          </w:tcPr>
          <w:p w14:paraId="2E334006" w14:textId="7CEFA837" w:rsidR="00A60C96" w:rsidRPr="002102E0" w:rsidRDefault="00A60C96"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Farmaceutický sektor</w:t>
            </w:r>
          </w:p>
        </w:tc>
        <w:tc>
          <w:tcPr>
            <w:tcW w:w="1770" w:type="dxa"/>
            <w:vAlign w:val="center"/>
          </w:tcPr>
          <w:p w14:paraId="7F2BE378" w14:textId="397D0BB7" w:rsidR="00A60C96" w:rsidRPr="002102E0" w:rsidRDefault="00A60C96"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Prerokovanie</w:t>
            </w:r>
          </w:p>
        </w:tc>
      </w:tr>
      <w:tr w:rsidR="00A60C96" w:rsidRPr="002102E0" w14:paraId="2E7AF542" w14:textId="77777777" w:rsidTr="00A60C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2953A989" w14:textId="3F247C18" w:rsidR="00A60C96" w:rsidRPr="002102E0" w:rsidRDefault="00A60C96" w:rsidP="00A60C96">
            <w:pPr>
              <w:rPr>
                <w:rFonts w:ascii="Arial" w:hAnsi="Arial" w:cs="Arial"/>
                <w:sz w:val="18"/>
                <w:szCs w:val="14"/>
                <w:lang w:val="sk-SK" w:eastAsia="sk-SK"/>
              </w:rPr>
            </w:pPr>
            <w:r>
              <w:rPr>
                <w:rFonts w:ascii="Arial" w:hAnsi="Arial" w:cs="Arial"/>
                <w:color w:val="000000" w:themeColor="text1"/>
                <w:sz w:val="18"/>
                <w:szCs w:val="18"/>
              </w:rPr>
              <w:t>CEOP</w:t>
            </w:r>
          </w:p>
        </w:tc>
        <w:tc>
          <w:tcPr>
            <w:tcW w:w="1796" w:type="dxa"/>
            <w:vAlign w:val="center"/>
            <w:hideMark/>
          </w:tcPr>
          <w:p w14:paraId="099BA651" w14:textId="669278A1" w:rsidR="00A60C96" w:rsidRPr="002102E0" w:rsidRDefault="00A60C96"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1,140</w:t>
            </w:r>
          </w:p>
        </w:tc>
        <w:tc>
          <w:tcPr>
            <w:tcW w:w="3540" w:type="dxa"/>
            <w:vAlign w:val="center"/>
            <w:hideMark/>
          </w:tcPr>
          <w:p w14:paraId="33483816" w14:textId="247DF7FB" w:rsidR="00A60C96" w:rsidRPr="002102E0" w:rsidRDefault="00A60C96"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Profesionálne služby</w:t>
            </w:r>
          </w:p>
        </w:tc>
        <w:tc>
          <w:tcPr>
            <w:tcW w:w="1770" w:type="dxa"/>
            <w:vAlign w:val="center"/>
          </w:tcPr>
          <w:p w14:paraId="749C627B" w14:textId="0D37385C" w:rsidR="00A60C96" w:rsidRPr="002102E0" w:rsidRDefault="00A60C96"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Prerokovanie</w:t>
            </w:r>
          </w:p>
        </w:tc>
      </w:tr>
      <w:tr w:rsidR="00A60C96" w:rsidRPr="002102E0" w14:paraId="5B0C410A" w14:textId="77777777" w:rsidTr="002102E0">
        <w:trPr>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E1FA018" w14:textId="2CBA3E75" w:rsidR="00A60C96" w:rsidRPr="002102E0" w:rsidRDefault="00A60C96" w:rsidP="00A60C96">
            <w:pPr>
              <w:rPr>
                <w:rFonts w:ascii="Arial" w:hAnsi="Arial" w:cs="Arial"/>
                <w:sz w:val="18"/>
                <w:szCs w:val="14"/>
                <w:lang w:val="sk-SK" w:eastAsia="sk-SK"/>
              </w:rPr>
            </w:pPr>
            <w:r>
              <w:rPr>
                <w:rFonts w:ascii="Arial" w:hAnsi="Arial" w:cs="Arial"/>
                <w:color w:val="000000" w:themeColor="text1"/>
                <w:sz w:val="18"/>
                <w:szCs w:val="18"/>
              </w:rPr>
              <w:t>Rosum</w:t>
            </w:r>
          </w:p>
        </w:tc>
        <w:tc>
          <w:tcPr>
            <w:tcW w:w="1796" w:type="dxa"/>
            <w:vAlign w:val="center"/>
          </w:tcPr>
          <w:p w14:paraId="5E4D9E9F" w14:textId="57CD0859" w:rsidR="00A60C96" w:rsidRPr="002102E0" w:rsidRDefault="00A60C96"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1,075</w:t>
            </w:r>
          </w:p>
        </w:tc>
        <w:tc>
          <w:tcPr>
            <w:tcW w:w="3540" w:type="dxa"/>
            <w:vAlign w:val="center"/>
          </w:tcPr>
          <w:p w14:paraId="62CB14CC" w14:textId="014B2AAA" w:rsidR="00A60C96" w:rsidRPr="002102E0" w:rsidRDefault="00A60C96"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Farmaceutický sektor</w:t>
            </w:r>
          </w:p>
        </w:tc>
        <w:tc>
          <w:tcPr>
            <w:tcW w:w="1770" w:type="dxa"/>
            <w:vAlign w:val="center"/>
          </w:tcPr>
          <w:p w14:paraId="23E9CA8D" w14:textId="1A79E2D6" w:rsidR="00A60C96" w:rsidRPr="002102E0" w:rsidRDefault="00A60C96"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Prerokovanie</w:t>
            </w:r>
          </w:p>
        </w:tc>
      </w:tr>
    </w:tbl>
    <w:p w14:paraId="0E9060AD" w14:textId="77777777" w:rsidR="008B2FE3" w:rsidRDefault="008B2FE3" w:rsidP="002102E0">
      <w:pPr>
        <w:rPr>
          <w:rFonts w:ascii="Arial" w:hAnsi="Arial" w:cs="Arial"/>
          <w:sz w:val="18"/>
          <w:szCs w:val="18"/>
          <w:lang w:val="sk-SK"/>
        </w:rPr>
      </w:pPr>
    </w:p>
    <w:p w14:paraId="4C47F93E" w14:textId="0031AAFA" w:rsidR="008B2FE3" w:rsidRDefault="008B2FE3" w:rsidP="008221A0">
      <w:pPr>
        <w:rPr>
          <w:rFonts w:ascii="Arial" w:hAnsi="Arial" w:cs="Arial"/>
          <w:sz w:val="18"/>
          <w:szCs w:val="18"/>
          <w:lang w:val="sk-SK"/>
        </w:rPr>
      </w:pPr>
    </w:p>
    <w:p w14:paraId="49188409" w14:textId="55A69C4A" w:rsidR="00F12436" w:rsidRPr="00CB446C" w:rsidRDefault="00F12436" w:rsidP="00F12436">
      <w:pPr>
        <w:jc w:val="both"/>
        <w:outlineLvl w:val="0"/>
        <w:rPr>
          <w:rFonts w:ascii="Arial" w:hAnsi="Arial" w:cs="Arial"/>
          <w:b/>
          <w:bCs/>
          <w:lang w:val="sk-SK"/>
        </w:rPr>
      </w:pPr>
      <w:proofErr w:type="spellStart"/>
      <w:r w:rsidRPr="00CB446C">
        <w:rPr>
          <w:rFonts w:ascii="Arial" w:hAnsi="Arial" w:cs="Arial"/>
          <w:b/>
          <w:bCs/>
          <w:lang w:val="sk-SK"/>
        </w:rPr>
        <w:t>Neobsadenosť</w:t>
      </w:r>
      <w:proofErr w:type="spellEnd"/>
      <w:r w:rsidRPr="00CB446C">
        <w:rPr>
          <w:rFonts w:ascii="Arial" w:hAnsi="Arial" w:cs="Arial"/>
          <w:b/>
          <w:bCs/>
          <w:lang w:val="sk-SK"/>
        </w:rPr>
        <w:t xml:space="preserve"> kancelárskych priestorov (</w:t>
      </w:r>
      <w:proofErr w:type="spellStart"/>
      <w:r w:rsidR="000E3223">
        <w:rPr>
          <w:rFonts w:ascii="Arial" w:hAnsi="Arial" w:cs="Arial"/>
          <w:b/>
          <w:bCs/>
          <w:lang w:val="sk-SK"/>
        </w:rPr>
        <w:t>o</w:t>
      </w:r>
      <w:r w:rsidRPr="00CB446C">
        <w:rPr>
          <w:rFonts w:ascii="Arial" w:hAnsi="Arial" w:cs="Arial"/>
          <w:b/>
          <w:bCs/>
          <w:lang w:val="sk-SK"/>
        </w:rPr>
        <w:t>ffice</w:t>
      </w:r>
      <w:proofErr w:type="spellEnd"/>
      <w:r w:rsidRPr="00CB446C">
        <w:rPr>
          <w:rFonts w:ascii="Arial" w:hAnsi="Arial" w:cs="Arial"/>
          <w:b/>
          <w:bCs/>
          <w:lang w:val="sk-SK"/>
        </w:rPr>
        <w:t xml:space="preserve"> </w:t>
      </w:r>
      <w:proofErr w:type="spellStart"/>
      <w:r w:rsidR="000E3223">
        <w:rPr>
          <w:rFonts w:ascii="Arial" w:hAnsi="Arial" w:cs="Arial"/>
          <w:b/>
          <w:bCs/>
          <w:lang w:val="sk-SK"/>
        </w:rPr>
        <w:t>v</w:t>
      </w:r>
      <w:r w:rsidRPr="00CB446C">
        <w:rPr>
          <w:rFonts w:ascii="Arial" w:hAnsi="Arial" w:cs="Arial"/>
          <w:b/>
          <w:bCs/>
          <w:lang w:val="sk-SK"/>
        </w:rPr>
        <w:t>acancy</w:t>
      </w:r>
      <w:proofErr w:type="spellEnd"/>
      <w:r w:rsidRPr="00CB446C">
        <w:rPr>
          <w:rFonts w:ascii="Arial" w:hAnsi="Arial" w:cs="Arial"/>
          <w:b/>
          <w:bCs/>
          <w:lang w:val="sk-SK"/>
        </w:rPr>
        <w:t>)</w:t>
      </w:r>
    </w:p>
    <w:p w14:paraId="4C8E180C" w14:textId="77777777" w:rsidR="00F12436" w:rsidRPr="008221A0" w:rsidRDefault="00F12436" w:rsidP="00F12436">
      <w:pPr>
        <w:jc w:val="both"/>
        <w:rPr>
          <w:rFonts w:ascii="Arial" w:hAnsi="Arial" w:cs="Arial"/>
          <w:bCs/>
          <w:sz w:val="18"/>
          <w:szCs w:val="18"/>
          <w:lang w:val="en-US"/>
        </w:rPr>
      </w:pPr>
    </w:p>
    <w:p w14:paraId="3B5A9086" w14:textId="22E7434F" w:rsidR="008B2FE3" w:rsidRPr="008A58C5" w:rsidRDefault="00D674F3" w:rsidP="00F12436">
      <w:pPr>
        <w:rPr>
          <w:rFonts w:ascii="Arial" w:hAnsi="Arial" w:cs="Arial"/>
          <w:bCs/>
          <w:sz w:val="18"/>
          <w:szCs w:val="18"/>
          <w:lang w:val="sk-SK"/>
        </w:rPr>
      </w:pPr>
      <w:r w:rsidRPr="00851225">
        <w:rPr>
          <w:rFonts w:ascii="Arial" w:hAnsi="Arial" w:cs="Arial"/>
          <w:bCs/>
          <w:sz w:val="18"/>
          <w:szCs w:val="18"/>
          <w:lang w:val="sk-SK"/>
        </w:rPr>
        <w:t xml:space="preserve">Celková miera </w:t>
      </w:r>
      <w:proofErr w:type="spellStart"/>
      <w:r w:rsidRPr="00851225">
        <w:rPr>
          <w:rFonts w:ascii="Arial" w:hAnsi="Arial" w:cs="Arial"/>
          <w:bCs/>
          <w:sz w:val="18"/>
          <w:szCs w:val="18"/>
          <w:lang w:val="sk-SK"/>
        </w:rPr>
        <w:t>neobsadenosti</w:t>
      </w:r>
      <w:proofErr w:type="spellEnd"/>
      <w:r w:rsidRPr="00851225">
        <w:rPr>
          <w:rFonts w:ascii="Arial" w:hAnsi="Arial" w:cs="Arial"/>
          <w:bCs/>
          <w:sz w:val="18"/>
          <w:szCs w:val="18"/>
          <w:lang w:val="sk-SK"/>
        </w:rPr>
        <w:t xml:space="preserve"> v Bratislave </w:t>
      </w:r>
      <w:r w:rsidR="0037381B">
        <w:rPr>
          <w:rFonts w:ascii="Arial" w:hAnsi="Arial" w:cs="Arial"/>
          <w:bCs/>
          <w:sz w:val="18"/>
          <w:szCs w:val="18"/>
          <w:lang w:val="sk-SK"/>
        </w:rPr>
        <w:t xml:space="preserve">zaznamenala iba minimálne zníženie o 0,01% </w:t>
      </w:r>
      <w:r w:rsidRPr="00851225">
        <w:rPr>
          <w:rFonts w:ascii="Arial" w:hAnsi="Arial" w:cs="Arial"/>
          <w:bCs/>
          <w:sz w:val="18"/>
          <w:szCs w:val="18"/>
          <w:lang w:val="sk-SK"/>
        </w:rPr>
        <w:t xml:space="preserve">na </w:t>
      </w:r>
      <w:r w:rsidR="00E34728" w:rsidRPr="00851225">
        <w:rPr>
          <w:rFonts w:ascii="Arial" w:hAnsi="Arial" w:cs="Arial"/>
          <w:bCs/>
          <w:sz w:val="18"/>
          <w:szCs w:val="18"/>
          <w:lang w:val="sk-SK"/>
        </w:rPr>
        <w:t>1</w:t>
      </w:r>
      <w:r w:rsidR="00C41BB4" w:rsidRPr="00851225">
        <w:rPr>
          <w:rFonts w:ascii="Arial" w:hAnsi="Arial" w:cs="Arial"/>
          <w:bCs/>
          <w:sz w:val="18"/>
          <w:szCs w:val="18"/>
          <w:lang w:val="sk-SK"/>
        </w:rPr>
        <w:t>2</w:t>
      </w:r>
      <w:r w:rsidR="00E34728" w:rsidRPr="00851225">
        <w:rPr>
          <w:rFonts w:ascii="Arial" w:hAnsi="Arial" w:cs="Arial"/>
          <w:bCs/>
          <w:sz w:val="18"/>
          <w:szCs w:val="18"/>
          <w:lang w:val="sk-SK"/>
        </w:rPr>
        <w:t>,</w:t>
      </w:r>
      <w:r w:rsidR="00851225" w:rsidRPr="00851225">
        <w:rPr>
          <w:rFonts w:ascii="Arial" w:hAnsi="Arial" w:cs="Arial"/>
          <w:bCs/>
          <w:sz w:val="18"/>
          <w:szCs w:val="18"/>
          <w:lang w:val="sk-SK"/>
        </w:rPr>
        <w:t>2</w:t>
      </w:r>
      <w:r w:rsidR="00F5221C">
        <w:rPr>
          <w:rFonts w:ascii="Arial" w:hAnsi="Arial" w:cs="Arial"/>
          <w:bCs/>
          <w:sz w:val="18"/>
          <w:szCs w:val="18"/>
          <w:lang w:val="sk-SK"/>
        </w:rPr>
        <w:t>1</w:t>
      </w:r>
      <w:r w:rsidRPr="00851225">
        <w:rPr>
          <w:rFonts w:ascii="Arial" w:hAnsi="Arial" w:cs="Arial"/>
          <w:bCs/>
          <w:sz w:val="18"/>
          <w:szCs w:val="18"/>
          <w:lang w:val="sk-SK"/>
        </w:rPr>
        <w:t xml:space="preserve">. Najnižšia miera </w:t>
      </w:r>
      <w:proofErr w:type="spellStart"/>
      <w:r w:rsidRPr="00851225">
        <w:rPr>
          <w:rFonts w:ascii="Arial" w:hAnsi="Arial" w:cs="Arial"/>
          <w:bCs/>
          <w:sz w:val="18"/>
          <w:szCs w:val="18"/>
          <w:lang w:val="sk-SK"/>
        </w:rPr>
        <w:t>neobsadenosti</w:t>
      </w:r>
      <w:proofErr w:type="spellEnd"/>
      <w:r w:rsidRPr="00851225">
        <w:rPr>
          <w:rFonts w:ascii="Arial" w:hAnsi="Arial" w:cs="Arial"/>
          <w:bCs/>
          <w:sz w:val="18"/>
          <w:szCs w:val="18"/>
          <w:lang w:val="sk-SK"/>
        </w:rPr>
        <w:t xml:space="preserve"> bola zaznamenaná v</w:t>
      </w:r>
      <w:r w:rsidR="00E50A08" w:rsidRPr="00851225">
        <w:rPr>
          <w:rFonts w:ascii="Arial" w:hAnsi="Arial" w:cs="Arial"/>
          <w:bCs/>
          <w:sz w:val="18"/>
          <w:szCs w:val="18"/>
          <w:lang w:val="sk-SK"/>
        </w:rPr>
        <w:t xml:space="preserve"> </w:t>
      </w:r>
      <w:r w:rsidR="00851225">
        <w:rPr>
          <w:rFonts w:ascii="Arial" w:hAnsi="Arial" w:cs="Arial"/>
          <w:bCs/>
          <w:sz w:val="18"/>
          <w:szCs w:val="18"/>
          <w:lang w:val="sk-SK"/>
        </w:rPr>
        <w:t>c</w:t>
      </w:r>
      <w:r w:rsidR="00E34728" w:rsidRPr="00851225">
        <w:rPr>
          <w:rFonts w:ascii="Arial" w:hAnsi="Arial" w:cs="Arial"/>
          <w:bCs/>
          <w:sz w:val="18"/>
          <w:szCs w:val="18"/>
          <w:lang w:val="sk-SK"/>
        </w:rPr>
        <w:t>entre mesta</w:t>
      </w:r>
      <w:r w:rsidRPr="00851225">
        <w:rPr>
          <w:rFonts w:ascii="Arial" w:hAnsi="Arial" w:cs="Arial"/>
          <w:bCs/>
          <w:sz w:val="18"/>
          <w:szCs w:val="18"/>
          <w:lang w:val="sk-SK"/>
        </w:rPr>
        <w:t xml:space="preserve"> (</w:t>
      </w:r>
      <w:r w:rsidR="00C66FD3" w:rsidRPr="00851225">
        <w:rPr>
          <w:rFonts w:ascii="Arial" w:hAnsi="Arial" w:cs="Arial"/>
          <w:bCs/>
          <w:sz w:val="18"/>
          <w:szCs w:val="18"/>
          <w:lang w:val="sk-SK"/>
        </w:rPr>
        <w:t>6,</w:t>
      </w:r>
      <w:r w:rsidR="00F5221C">
        <w:rPr>
          <w:rFonts w:ascii="Arial" w:hAnsi="Arial" w:cs="Arial"/>
          <w:bCs/>
          <w:sz w:val="18"/>
          <w:szCs w:val="18"/>
          <w:lang w:val="sk-SK"/>
        </w:rPr>
        <w:t>5</w:t>
      </w:r>
      <w:r w:rsidR="003401B5">
        <w:rPr>
          <w:rFonts w:ascii="Arial" w:hAnsi="Arial" w:cs="Arial"/>
          <w:bCs/>
          <w:sz w:val="18"/>
          <w:szCs w:val="18"/>
          <w:lang w:val="sk-SK"/>
        </w:rPr>
        <w:t>7</w:t>
      </w:r>
      <w:r w:rsidR="00C41BB4" w:rsidRPr="00851225">
        <w:rPr>
          <w:rFonts w:ascii="Arial" w:hAnsi="Arial" w:cs="Arial"/>
          <w:bCs/>
          <w:sz w:val="18"/>
          <w:szCs w:val="18"/>
          <w:lang w:val="sk-SK"/>
        </w:rPr>
        <w:t xml:space="preserve"> </w:t>
      </w:r>
      <w:r w:rsidRPr="00851225">
        <w:rPr>
          <w:rFonts w:ascii="Arial" w:hAnsi="Arial" w:cs="Arial"/>
          <w:bCs/>
          <w:sz w:val="18"/>
          <w:szCs w:val="18"/>
          <w:lang w:val="sk-SK"/>
        </w:rPr>
        <w:t xml:space="preserve">%), </w:t>
      </w:r>
      <w:r w:rsidR="00035C5A" w:rsidRPr="00851225">
        <w:rPr>
          <w:rFonts w:ascii="Arial" w:eastAsia="SimSun" w:hAnsi="Arial" w:cs="Arial"/>
          <w:sz w:val="18"/>
          <w:szCs w:val="18"/>
          <w:lang w:val="sk-SK" w:eastAsia="sk-SK"/>
        </w:rPr>
        <w:t>nasleduje vnútorné mesto (10</w:t>
      </w:r>
      <w:r w:rsidR="00851225" w:rsidRPr="00851225">
        <w:rPr>
          <w:rFonts w:ascii="Arial" w:eastAsia="SimSun" w:hAnsi="Arial" w:cs="Arial"/>
          <w:sz w:val="18"/>
          <w:szCs w:val="18"/>
          <w:lang w:val="sk-SK" w:eastAsia="sk-SK"/>
        </w:rPr>
        <w:t>,</w:t>
      </w:r>
      <w:r w:rsidR="00F5221C">
        <w:rPr>
          <w:rFonts w:ascii="Arial" w:eastAsia="SimSun" w:hAnsi="Arial" w:cs="Arial"/>
          <w:sz w:val="18"/>
          <w:szCs w:val="18"/>
          <w:lang w:val="sk-SK" w:eastAsia="sk-SK"/>
        </w:rPr>
        <w:t>21</w:t>
      </w:r>
      <w:r w:rsidR="00035C5A" w:rsidRPr="008A58C5">
        <w:rPr>
          <w:rFonts w:ascii="Arial" w:hAnsi="Arial" w:cs="Arial"/>
          <w:bCs/>
          <w:sz w:val="18"/>
          <w:szCs w:val="18"/>
          <w:lang w:val="sk-SK"/>
        </w:rPr>
        <w:t>%), okrajová časť mesta (1</w:t>
      </w:r>
      <w:r w:rsidR="00F5221C" w:rsidRPr="008A58C5">
        <w:rPr>
          <w:rFonts w:ascii="Arial" w:hAnsi="Arial" w:cs="Arial"/>
          <w:bCs/>
          <w:sz w:val="18"/>
          <w:szCs w:val="18"/>
          <w:lang w:val="sk-SK"/>
        </w:rPr>
        <w:t>3</w:t>
      </w:r>
      <w:r w:rsidR="00851225" w:rsidRPr="008A58C5">
        <w:rPr>
          <w:rFonts w:ascii="Arial" w:hAnsi="Arial" w:cs="Arial"/>
          <w:bCs/>
          <w:sz w:val="18"/>
          <w:szCs w:val="18"/>
          <w:lang w:val="sk-SK"/>
        </w:rPr>
        <w:t>,</w:t>
      </w:r>
      <w:r w:rsidR="00F5221C" w:rsidRPr="008A58C5">
        <w:rPr>
          <w:rFonts w:ascii="Arial" w:hAnsi="Arial" w:cs="Arial"/>
          <w:bCs/>
          <w:sz w:val="18"/>
          <w:szCs w:val="18"/>
          <w:lang w:val="sk-SK"/>
        </w:rPr>
        <w:t>64</w:t>
      </w:r>
      <w:r w:rsidR="00035C5A" w:rsidRPr="008A58C5">
        <w:rPr>
          <w:rFonts w:ascii="Arial" w:hAnsi="Arial" w:cs="Arial"/>
          <w:bCs/>
          <w:sz w:val="18"/>
          <w:szCs w:val="18"/>
          <w:lang w:val="sk-SK"/>
        </w:rPr>
        <w:t xml:space="preserve">%), </w:t>
      </w:r>
      <w:r w:rsidR="00CA595B" w:rsidRPr="008A58C5">
        <w:rPr>
          <w:rFonts w:ascii="Arial" w:hAnsi="Arial" w:cs="Arial"/>
          <w:bCs/>
          <w:sz w:val="18"/>
          <w:szCs w:val="18"/>
          <w:lang w:val="sk-SK"/>
        </w:rPr>
        <w:t xml:space="preserve">zóna CBD </w:t>
      </w:r>
      <w:r w:rsidR="00035C5A" w:rsidRPr="008A58C5">
        <w:rPr>
          <w:rFonts w:ascii="Arial" w:hAnsi="Arial" w:cs="Arial"/>
          <w:bCs/>
          <w:sz w:val="18"/>
          <w:szCs w:val="18"/>
          <w:lang w:val="sk-SK"/>
        </w:rPr>
        <w:t>(1</w:t>
      </w:r>
      <w:r w:rsidR="00F5221C" w:rsidRPr="008A58C5">
        <w:rPr>
          <w:rFonts w:ascii="Arial" w:hAnsi="Arial" w:cs="Arial"/>
          <w:bCs/>
          <w:sz w:val="18"/>
          <w:szCs w:val="18"/>
          <w:lang w:val="sk-SK"/>
        </w:rPr>
        <w:t>5</w:t>
      </w:r>
      <w:r w:rsidR="00851225" w:rsidRPr="008A58C5">
        <w:rPr>
          <w:rFonts w:ascii="Arial" w:hAnsi="Arial" w:cs="Arial"/>
          <w:bCs/>
          <w:sz w:val="18"/>
          <w:szCs w:val="18"/>
          <w:lang w:val="sk-SK"/>
        </w:rPr>
        <w:t>,4</w:t>
      </w:r>
      <w:r w:rsidR="00F5221C" w:rsidRPr="008A58C5">
        <w:rPr>
          <w:rFonts w:ascii="Arial" w:hAnsi="Arial" w:cs="Arial"/>
          <w:bCs/>
          <w:sz w:val="18"/>
          <w:szCs w:val="18"/>
          <w:lang w:val="sk-SK"/>
        </w:rPr>
        <w:t>6</w:t>
      </w:r>
      <w:r w:rsidR="00035C5A" w:rsidRPr="008A58C5">
        <w:rPr>
          <w:rFonts w:ascii="Arial" w:hAnsi="Arial" w:cs="Arial"/>
          <w:bCs/>
          <w:sz w:val="18"/>
          <w:szCs w:val="18"/>
          <w:lang w:val="sk-SK"/>
        </w:rPr>
        <w:t xml:space="preserve">%) a najvyššiu mieru </w:t>
      </w:r>
      <w:proofErr w:type="spellStart"/>
      <w:r w:rsidR="00AF41C9" w:rsidRPr="00851225">
        <w:rPr>
          <w:rFonts w:ascii="Arial" w:hAnsi="Arial" w:cs="Arial"/>
          <w:bCs/>
          <w:sz w:val="18"/>
          <w:szCs w:val="18"/>
          <w:lang w:val="sk-SK"/>
        </w:rPr>
        <w:t>neobsadenosti</w:t>
      </w:r>
      <w:proofErr w:type="spellEnd"/>
      <w:r w:rsidR="00035C5A" w:rsidRPr="008A58C5">
        <w:rPr>
          <w:rFonts w:ascii="Arial" w:hAnsi="Arial" w:cs="Arial"/>
          <w:bCs/>
          <w:sz w:val="18"/>
          <w:szCs w:val="18"/>
          <w:lang w:val="sk-SK"/>
        </w:rPr>
        <w:t xml:space="preserve"> 1</w:t>
      </w:r>
      <w:r w:rsidR="00F5221C" w:rsidRPr="008A58C5">
        <w:rPr>
          <w:rFonts w:ascii="Arial" w:hAnsi="Arial" w:cs="Arial"/>
          <w:bCs/>
          <w:sz w:val="18"/>
          <w:szCs w:val="18"/>
          <w:lang w:val="sk-SK"/>
        </w:rPr>
        <w:t>6</w:t>
      </w:r>
      <w:r w:rsidR="00851225" w:rsidRPr="008A58C5">
        <w:rPr>
          <w:rFonts w:ascii="Arial" w:hAnsi="Arial" w:cs="Arial"/>
          <w:bCs/>
          <w:sz w:val="18"/>
          <w:szCs w:val="18"/>
          <w:lang w:val="sk-SK"/>
        </w:rPr>
        <w:t>,</w:t>
      </w:r>
      <w:r w:rsidR="00F5221C" w:rsidRPr="008A58C5">
        <w:rPr>
          <w:rFonts w:ascii="Arial" w:hAnsi="Arial" w:cs="Arial"/>
          <w:bCs/>
          <w:sz w:val="18"/>
          <w:szCs w:val="18"/>
          <w:lang w:val="sk-SK"/>
        </w:rPr>
        <w:t>7</w:t>
      </w:r>
      <w:r w:rsidR="00851225" w:rsidRPr="008A58C5">
        <w:rPr>
          <w:rFonts w:ascii="Arial" w:hAnsi="Arial" w:cs="Arial"/>
          <w:bCs/>
          <w:sz w:val="18"/>
          <w:szCs w:val="18"/>
          <w:lang w:val="sk-SK"/>
        </w:rPr>
        <w:t>6</w:t>
      </w:r>
      <w:r w:rsidR="00CA595B" w:rsidRPr="008A58C5">
        <w:rPr>
          <w:rFonts w:ascii="Arial" w:hAnsi="Arial" w:cs="Arial"/>
          <w:bCs/>
          <w:sz w:val="18"/>
          <w:szCs w:val="18"/>
          <w:lang w:val="sk-SK"/>
        </w:rPr>
        <w:t xml:space="preserve"> % zaznamenáva južné nábrežie</w:t>
      </w:r>
      <w:r w:rsidR="00035C5A" w:rsidRPr="008A58C5">
        <w:rPr>
          <w:rFonts w:ascii="Arial" w:hAnsi="Arial" w:cs="Arial"/>
          <w:bCs/>
          <w:sz w:val="18"/>
          <w:szCs w:val="18"/>
          <w:lang w:val="sk-SK"/>
        </w:rPr>
        <w:t>.</w:t>
      </w:r>
      <w:r w:rsidR="00761FA7" w:rsidRPr="008A58C5">
        <w:rPr>
          <w:rFonts w:ascii="Arial" w:hAnsi="Arial" w:cs="Arial"/>
          <w:bCs/>
          <w:sz w:val="18"/>
          <w:szCs w:val="18"/>
          <w:lang w:val="sk-SK"/>
        </w:rPr>
        <w:t xml:space="preserve"> Čistá absorpcia vzrástla solídne, o vyše 13 000 m2.</w:t>
      </w:r>
    </w:p>
    <w:p w14:paraId="0A2D20DC" w14:textId="49E05AB1" w:rsidR="0079691C" w:rsidRDefault="0079691C" w:rsidP="00F12436">
      <w:pPr>
        <w:rPr>
          <w:rFonts w:ascii="Arial" w:hAnsi="Arial" w:cs="Arial"/>
          <w:sz w:val="18"/>
          <w:szCs w:val="18"/>
          <w:lang w:val="sk-SK"/>
        </w:rPr>
      </w:pPr>
    </w:p>
    <w:p w14:paraId="3F040D0C" w14:textId="70442212" w:rsidR="0079691C" w:rsidRDefault="0079691C" w:rsidP="00527545">
      <w:pPr>
        <w:jc w:val="center"/>
        <w:rPr>
          <w:rFonts w:ascii="Arial" w:hAnsi="Arial" w:cs="Arial"/>
          <w:sz w:val="18"/>
          <w:szCs w:val="18"/>
          <w:lang w:val="sk-SK"/>
        </w:rPr>
      </w:pPr>
    </w:p>
    <w:p w14:paraId="548C6BE5" w14:textId="260D71EB" w:rsidR="006D2A46" w:rsidRDefault="0016062E" w:rsidP="00527545">
      <w:pPr>
        <w:jc w:val="center"/>
        <w:rPr>
          <w:rFonts w:ascii="Arial" w:hAnsi="Arial" w:cs="Arial"/>
          <w:sz w:val="18"/>
          <w:szCs w:val="18"/>
          <w:lang w:val="sk-SK"/>
        </w:rPr>
      </w:pPr>
      <w:r w:rsidRPr="0016062E">
        <w:rPr>
          <w:noProof/>
        </w:rPr>
        <w:t xml:space="preserve"> </w:t>
      </w:r>
      <w:r w:rsidR="00F5221C">
        <w:rPr>
          <w:noProof/>
        </w:rPr>
        <w:drawing>
          <wp:inline distT="0" distB="0" distL="0" distR="0" wp14:anchorId="6CD81CB6" wp14:editId="3033D20D">
            <wp:extent cx="5067726" cy="2459691"/>
            <wp:effectExtent l="0" t="0" r="0" b="17145"/>
            <wp:docPr id="11" name="Chart 11">
              <a:extLst xmlns:a="http://schemas.openxmlformats.org/drawingml/2006/main">
                <a:ext uri="{FF2B5EF4-FFF2-40B4-BE49-F238E27FC236}">
                  <a16:creationId xmlns:a16="http://schemas.microsoft.com/office/drawing/2014/main" id="{F90BB7EF-DDF6-4F0D-85C3-3A56354A2D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EBC9D7" w14:textId="77777777" w:rsidR="00F12436" w:rsidRDefault="00F12436" w:rsidP="00F12436">
      <w:pPr>
        <w:rPr>
          <w:rFonts w:ascii="Arial" w:hAnsi="Arial" w:cs="Arial"/>
          <w:sz w:val="18"/>
          <w:szCs w:val="18"/>
          <w:lang w:val="sk-SK"/>
        </w:rPr>
      </w:pPr>
    </w:p>
    <w:p w14:paraId="58AAE664" w14:textId="77777777" w:rsidR="00F12436" w:rsidRDefault="00F12436" w:rsidP="00F12436">
      <w:pPr>
        <w:rPr>
          <w:rFonts w:ascii="Arial" w:hAnsi="Arial" w:cs="Arial"/>
          <w:sz w:val="18"/>
          <w:szCs w:val="18"/>
          <w:lang w:val="sk-SK"/>
        </w:rPr>
      </w:pPr>
    </w:p>
    <w:p w14:paraId="2F557E62" w14:textId="2438253C" w:rsidR="00F12436" w:rsidRPr="00CB446C" w:rsidRDefault="00F12436" w:rsidP="00F12436">
      <w:pPr>
        <w:rPr>
          <w:rFonts w:ascii="Arial" w:hAnsi="Arial" w:cs="Arial"/>
          <w:b/>
          <w:bCs/>
          <w:lang w:val="sk-SK"/>
        </w:rPr>
      </w:pPr>
      <w:r>
        <w:rPr>
          <w:rFonts w:ascii="Arial" w:hAnsi="Arial" w:cs="Arial"/>
          <w:b/>
          <w:bCs/>
          <w:lang w:val="sk-SK"/>
        </w:rPr>
        <w:t>Nájomné (</w:t>
      </w:r>
      <w:r w:rsidR="000E3223">
        <w:rPr>
          <w:rFonts w:ascii="Arial" w:hAnsi="Arial" w:cs="Arial"/>
          <w:b/>
          <w:bCs/>
          <w:lang w:val="sk-SK"/>
        </w:rPr>
        <w:t>p</w:t>
      </w:r>
      <w:r>
        <w:rPr>
          <w:rFonts w:ascii="Arial" w:hAnsi="Arial" w:cs="Arial"/>
          <w:b/>
          <w:bCs/>
          <w:lang w:val="sk-SK"/>
        </w:rPr>
        <w:t>rime rent)</w:t>
      </w:r>
    </w:p>
    <w:p w14:paraId="7DDE4E03" w14:textId="77777777" w:rsidR="00F12436" w:rsidRDefault="00F12436" w:rsidP="00F12436">
      <w:pPr>
        <w:rPr>
          <w:rFonts w:ascii="Arial" w:hAnsi="Arial" w:cs="Arial"/>
          <w:sz w:val="18"/>
          <w:szCs w:val="18"/>
          <w:lang w:val="sk-SK"/>
        </w:rPr>
      </w:pPr>
    </w:p>
    <w:p w14:paraId="5463D62E" w14:textId="31AAA28C" w:rsidR="00F12436" w:rsidRDefault="008979F0" w:rsidP="00F12436">
      <w:pPr>
        <w:rPr>
          <w:rFonts w:ascii="Arial" w:hAnsi="Arial" w:cs="Arial"/>
          <w:sz w:val="18"/>
          <w:szCs w:val="18"/>
          <w:lang w:val="sk-SK"/>
        </w:rPr>
      </w:pPr>
      <w:r>
        <w:rPr>
          <w:rFonts w:ascii="Arial" w:hAnsi="Arial" w:cs="Arial"/>
          <w:sz w:val="18"/>
          <w:szCs w:val="18"/>
          <w:lang w:val="sk-SK"/>
        </w:rPr>
        <w:t>Nájomné (prime rent)</w:t>
      </w:r>
      <w:r w:rsidR="008D5D4A">
        <w:rPr>
          <w:rFonts w:ascii="Arial" w:hAnsi="Arial" w:cs="Arial"/>
          <w:sz w:val="18"/>
          <w:szCs w:val="18"/>
          <w:lang w:val="sk-SK"/>
        </w:rPr>
        <w:t xml:space="preserve"> </w:t>
      </w:r>
      <w:r w:rsidR="00651C71">
        <w:rPr>
          <w:rFonts w:ascii="Arial" w:hAnsi="Arial" w:cs="Arial"/>
          <w:sz w:val="18"/>
          <w:szCs w:val="18"/>
          <w:lang w:val="sk-SK"/>
        </w:rPr>
        <w:t xml:space="preserve">sa oproti minulému štvrťroku </w:t>
      </w:r>
      <w:r w:rsidR="0016062E">
        <w:rPr>
          <w:rFonts w:ascii="Arial" w:hAnsi="Arial" w:cs="Arial"/>
          <w:sz w:val="18"/>
          <w:szCs w:val="18"/>
          <w:lang w:val="sk-SK"/>
        </w:rPr>
        <w:t>ne</w:t>
      </w:r>
      <w:r w:rsidR="00651C71">
        <w:rPr>
          <w:rFonts w:ascii="Arial" w:hAnsi="Arial" w:cs="Arial"/>
          <w:sz w:val="18"/>
          <w:szCs w:val="18"/>
          <w:lang w:val="sk-SK"/>
        </w:rPr>
        <w:t xml:space="preserve">mení </w:t>
      </w:r>
      <w:r w:rsidR="0016062E">
        <w:rPr>
          <w:rFonts w:ascii="Arial" w:hAnsi="Arial" w:cs="Arial"/>
          <w:sz w:val="18"/>
          <w:szCs w:val="18"/>
          <w:lang w:val="sk-SK"/>
        </w:rPr>
        <w:t>z úrovne</w:t>
      </w:r>
      <w:r w:rsidR="00F12436">
        <w:rPr>
          <w:rFonts w:ascii="Arial" w:hAnsi="Arial" w:cs="Arial"/>
          <w:sz w:val="18"/>
          <w:szCs w:val="18"/>
          <w:lang w:val="sk-SK"/>
        </w:rPr>
        <w:t xml:space="preserve"> 1</w:t>
      </w:r>
      <w:r w:rsidR="00C41BB4">
        <w:rPr>
          <w:rFonts w:ascii="Arial" w:hAnsi="Arial" w:cs="Arial"/>
          <w:sz w:val="18"/>
          <w:szCs w:val="18"/>
          <w:lang w:val="sk-SK"/>
        </w:rPr>
        <w:t>6</w:t>
      </w:r>
      <w:r w:rsidR="00F12436">
        <w:rPr>
          <w:rFonts w:ascii="Arial" w:hAnsi="Arial" w:cs="Arial"/>
          <w:sz w:val="18"/>
          <w:szCs w:val="18"/>
          <w:lang w:val="sk-SK"/>
        </w:rPr>
        <w:t>,</w:t>
      </w:r>
      <w:r w:rsidR="00C41BB4">
        <w:rPr>
          <w:rFonts w:ascii="Arial" w:hAnsi="Arial" w:cs="Arial"/>
          <w:sz w:val="18"/>
          <w:szCs w:val="18"/>
          <w:lang w:val="sk-SK"/>
        </w:rPr>
        <w:t>5</w:t>
      </w:r>
      <w:r w:rsidR="00F12436">
        <w:rPr>
          <w:rFonts w:ascii="Arial" w:hAnsi="Arial" w:cs="Arial"/>
          <w:sz w:val="18"/>
          <w:szCs w:val="18"/>
          <w:lang w:val="sk-SK"/>
        </w:rPr>
        <w:t>0</w:t>
      </w:r>
      <w:r w:rsidR="00F12436" w:rsidRPr="00CB446C">
        <w:rPr>
          <w:rFonts w:ascii="Arial" w:hAnsi="Arial" w:cs="Arial"/>
          <w:sz w:val="18"/>
          <w:szCs w:val="18"/>
          <w:lang w:val="sk-SK"/>
        </w:rPr>
        <w:t xml:space="preserve"> </w:t>
      </w:r>
      <w:r w:rsidR="00F12436">
        <w:rPr>
          <w:rFonts w:ascii="Arial" w:hAnsi="Arial" w:cs="Arial"/>
          <w:sz w:val="18"/>
          <w:szCs w:val="18"/>
          <w:lang w:val="sk-SK"/>
        </w:rPr>
        <w:t>EUR/m</w:t>
      </w:r>
      <w:r w:rsidR="00F12436" w:rsidRPr="00CB446C">
        <w:rPr>
          <w:rFonts w:ascii="Arial" w:hAnsi="Arial" w:cs="Arial"/>
          <w:sz w:val="18"/>
          <w:szCs w:val="18"/>
          <w:vertAlign w:val="superscript"/>
          <w:lang w:val="sk-SK"/>
        </w:rPr>
        <w:t>2</w:t>
      </w:r>
      <w:r w:rsidR="00F12436">
        <w:rPr>
          <w:rFonts w:ascii="Arial" w:hAnsi="Arial" w:cs="Arial"/>
          <w:sz w:val="18"/>
          <w:szCs w:val="18"/>
          <w:lang w:val="sk-SK"/>
        </w:rPr>
        <w:t>/mesiac.</w:t>
      </w:r>
    </w:p>
    <w:p w14:paraId="151C7DC0" w14:textId="77777777" w:rsidR="00F12436" w:rsidRDefault="00F12436" w:rsidP="00F12436">
      <w:pPr>
        <w:rPr>
          <w:rFonts w:ascii="Arial" w:hAnsi="Arial" w:cs="Arial"/>
          <w:sz w:val="18"/>
          <w:szCs w:val="18"/>
        </w:rPr>
      </w:pPr>
      <w:bookmarkStart w:id="5" w:name="_GoBack"/>
      <w:bookmarkEnd w:id="5"/>
    </w:p>
    <w:p w14:paraId="0110FCD4" w14:textId="77777777" w:rsidR="00F12436" w:rsidRDefault="00F12436" w:rsidP="00F12436">
      <w:pPr>
        <w:rPr>
          <w:rFonts w:ascii="Arial" w:hAnsi="Arial" w:cs="Arial"/>
          <w:sz w:val="18"/>
          <w:szCs w:val="18"/>
        </w:rPr>
      </w:pPr>
    </w:p>
    <w:p w14:paraId="03C00ED6" w14:textId="77777777" w:rsidR="00F12436" w:rsidRPr="0041056A" w:rsidRDefault="00F12436" w:rsidP="00C41BB4">
      <w:pPr>
        <w:rPr>
          <w:lang w:val="sk-SK"/>
        </w:rPr>
      </w:pPr>
    </w:p>
    <w:bookmarkEnd w:id="3"/>
    <w:p w14:paraId="7A05D599" w14:textId="77777777" w:rsidR="00F12436" w:rsidRDefault="00F12436" w:rsidP="00C41BB4">
      <w:pPr>
        <w:rPr>
          <w:lang w:val="sk-SK"/>
        </w:rPr>
      </w:pPr>
    </w:p>
    <w:p w14:paraId="4CE03A36" w14:textId="77777777" w:rsidR="00F12436" w:rsidRPr="005D218F" w:rsidRDefault="00F12436" w:rsidP="00C41BB4">
      <w:pPr>
        <w:rPr>
          <w:b/>
          <w:lang w:val="sk-SK"/>
        </w:rPr>
      </w:pPr>
    </w:p>
    <w:p w14:paraId="51260C4C" w14:textId="77777777" w:rsidR="00E014C1" w:rsidRPr="005D218F" w:rsidRDefault="00E014C1" w:rsidP="00C41BB4">
      <w:pPr>
        <w:rPr>
          <w:b/>
          <w:lang w:val="sk-SK"/>
        </w:rPr>
      </w:pPr>
    </w:p>
    <w:p w14:paraId="4BC969D6" w14:textId="77777777" w:rsidR="008B2FE3" w:rsidRDefault="008B2FE3" w:rsidP="00C41BB4">
      <w:pPr>
        <w:rPr>
          <w:b/>
          <w:lang w:val="sk-SK"/>
        </w:rPr>
      </w:pPr>
    </w:p>
    <w:p w14:paraId="3140E751" w14:textId="77777777" w:rsidR="008B2FE3" w:rsidRDefault="008B2FE3" w:rsidP="00C41BB4">
      <w:pPr>
        <w:rPr>
          <w:b/>
          <w:lang w:val="sk-SK"/>
        </w:rPr>
      </w:pPr>
    </w:p>
    <w:p w14:paraId="17FA0D39" w14:textId="77777777" w:rsidR="008B2FE3" w:rsidRDefault="008B2FE3" w:rsidP="00C41BB4">
      <w:pPr>
        <w:rPr>
          <w:b/>
          <w:lang w:val="sk-SK"/>
        </w:rPr>
      </w:pPr>
    </w:p>
    <w:p w14:paraId="3CF20078" w14:textId="77777777" w:rsidR="008B2FE3" w:rsidRDefault="008B2FE3" w:rsidP="008B2FE3">
      <w:pPr>
        <w:rPr>
          <w:rFonts w:ascii="Arial" w:hAnsi="Arial" w:cs="Arial"/>
          <w:b/>
          <w:sz w:val="18"/>
          <w:szCs w:val="18"/>
          <w:lang w:val="sk-SK"/>
        </w:rPr>
      </w:pPr>
    </w:p>
    <w:p w14:paraId="0AF6EBC3" w14:textId="77777777" w:rsidR="008B2FE3" w:rsidRDefault="008B2FE3" w:rsidP="008B2FE3">
      <w:pPr>
        <w:rPr>
          <w:rFonts w:ascii="Arial" w:hAnsi="Arial" w:cs="Arial"/>
          <w:b/>
          <w:sz w:val="18"/>
          <w:szCs w:val="18"/>
          <w:lang w:val="sk-SK"/>
        </w:rPr>
      </w:pPr>
    </w:p>
    <w:p w14:paraId="6E1DFB14" w14:textId="77777777" w:rsidR="008B2FE3" w:rsidRDefault="008B2FE3" w:rsidP="008B2FE3">
      <w:pPr>
        <w:rPr>
          <w:rFonts w:ascii="Arial" w:hAnsi="Arial" w:cs="Arial"/>
          <w:b/>
          <w:sz w:val="18"/>
          <w:szCs w:val="18"/>
          <w:lang w:val="sk-SK"/>
        </w:rPr>
      </w:pPr>
    </w:p>
    <w:p w14:paraId="2B6B114F" w14:textId="77777777" w:rsidR="008B2FE3" w:rsidRDefault="008B2FE3" w:rsidP="008B2FE3">
      <w:pPr>
        <w:rPr>
          <w:rFonts w:ascii="Arial" w:hAnsi="Arial" w:cs="Arial"/>
          <w:b/>
          <w:sz w:val="18"/>
          <w:szCs w:val="18"/>
          <w:lang w:val="sk-SK"/>
        </w:rPr>
      </w:pPr>
    </w:p>
    <w:p w14:paraId="6D8677EF" w14:textId="77777777" w:rsidR="008B2FE3" w:rsidRDefault="008B2FE3" w:rsidP="008B2FE3">
      <w:pPr>
        <w:rPr>
          <w:rFonts w:ascii="Arial" w:hAnsi="Arial" w:cs="Arial"/>
          <w:b/>
          <w:sz w:val="18"/>
          <w:szCs w:val="18"/>
          <w:lang w:val="sk-SK"/>
        </w:rPr>
      </w:pPr>
    </w:p>
    <w:p w14:paraId="45B1B792" w14:textId="77777777" w:rsidR="008B2FE3" w:rsidRDefault="008B2FE3" w:rsidP="008B2FE3">
      <w:pPr>
        <w:rPr>
          <w:rFonts w:ascii="Arial" w:hAnsi="Arial" w:cs="Arial"/>
          <w:b/>
          <w:sz w:val="18"/>
          <w:szCs w:val="18"/>
          <w:lang w:val="sk-SK"/>
        </w:rPr>
      </w:pPr>
    </w:p>
    <w:p w14:paraId="1630D1B6" w14:textId="77777777" w:rsidR="008B2FE3" w:rsidRDefault="008B2FE3" w:rsidP="008B2FE3">
      <w:pPr>
        <w:rPr>
          <w:rFonts w:ascii="Arial" w:hAnsi="Arial" w:cs="Arial"/>
          <w:b/>
          <w:sz w:val="18"/>
          <w:szCs w:val="18"/>
          <w:lang w:val="sk-SK"/>
        </w:rPr>
      </w:pPr>
    </w:p>
    <w:p w14:paraId="4FF4E7B9" w14:textId="77777777" w:rsidR="008B2FE3" w:rsidRDefault="008B2FE3" w:rsidP="008B2FE3">
      <w:pPr>
        <w:rPr>
          <w:rFonts w:ascii="Arial" w:hAnsi="Arial" w:cs="Arial"/>
          <w:b/>
          <w:sz w:val="18"/>
          <w:szCs w:val="18"/>
          <w:lang w:val="sk-SK"/>
        </w:rPr>
      </w:pPr>
    </w:p>
    <w:p w14:paraId="6E04FD6F" w14:textId="77777777" w:rsidR="008B2FE3" w:rsidRDefault="008B2FE3" w:rsidP="008B2FE3">
      <w:pPr>
        <w:rPr>
          <w:rFonts w:ascii="Arial" w:hAnsi="Arial" w:cs="Arial"/>
          <w:b/>
          <w:sz w:val="18"/>
          <w:szCs w:val="18"/>
          <w:lang w:val="sk-SK"/>
        </w:rPr>
      </w:pPr>
    </w:p>
    <w:p w14:paraId="2BD317B7" w14:textId="77777777" w:rsidR="008B2FE3" w:rsidRDefault="008B2FE3" w:rsidP="008B2FE3">
      <w:pPr>
        <w:rPr>
          <w:rFonts w:ascii="Arial" w:hAnsi="Arial" w:cs="Arial"/>
          <w:b/>
          <w:sz w:val="18"/>
          <w:szCs w:val="18"/>
          <w:lang w:val="sk-SK"/>
        </w:rPr>
      </w:pPr>
    </w:p>
    <w:p w14:paraId="5C667D81" w14:textId="77777777" w:rsidR="008B2FE3" w:rsidRDefault="008B2FE3" w:rsidP="008B2FE3">
      <w:pPr>
        <w:rPr>
          <w:rFonts w:ascii="Arial" w:hAnsi="Arial" w:cs="Arial"/>
          <w:b/>
          <w:sz w:val="18"/>
          <w:szCs w:val="18"/>
          <w:lang w:val="sk-SK"/>
        </w:rPr>
      </w:pPr>
    </w:p>
    <w:p w14:paraId="37733A4B" w14:textId="78075BC0" w:rsidR="008B2FE3" w:rsidRDefault="008B2FE3" w:rsidP="008B2FE3">
      <w:pPr>
        <w:rPr>
          <w:rFonts w:ascii="Arial" w:hAnsi="Arial" w:cs="Arial"/>
          <w:b/>
          <w:sz w:val="18"/>
          <w:szCs w:val="18"/>
          <w:lang w:val="sk-SK"/>
        </w:rPr>
      </w:pPr>
    </w:p>
    <w:p w14:paraId="4D57BABA" w14:textId="39A353A7" w:rsidR="00035C5A" w:rsidRDefault="00035C5A" w:rsidP="008B2FE3">
      <w:pPr>
        <w:rPr>
          <w:rFonts w:ascii="Arial" w:hAnsi="Arial" w:cs="Arial"/>
          <w:b/>
          <w:sz w:val="18"/>
          <w:szCs w:val="18"/>
          <w:lang w:val="sk-SK"/>
        </w:rPr>
      </w:pPr>
    </w:p>
    <w:p w14:paraId="49CCFE97" w14:textId="77777777" w:rsidR="00035C5A" w:rsidRDefault="00035C5A" w:rsidP="008B2FE3">
      <w:pPr>
        <w:rPr>
          <w:rFonts w:ascii="Arial" w:hAnsi="Arial" w:cs="Arial"/>
          <w:b/>
          <w:sz w:val="18"/>
          <w:szCs w:val="18"/>
          <w:lang w:val="sk-SK"/>
        </w:rPr>
      </w:pPr>
    </w:p>
    <w:p w14:paraId="68BE5491" w14:textId="77777777" w:rsidR="008B2FE3" w:rsidRDefault="008B2FE3" w:rsidP="008B2FE3">
      <w:pPr>
        <w:rPr>
          <w:rFonts w:ascii="Arial" w:hAnsi="Arial" w:cs="Arial"/>
          <w:b/>
          <w:sz w:val="18"/>
          <w:szCs w:val="18"/>
          <w:lang w:val="sk-SK"/>
        </w:rPr>
      </w:pPr>
    </w:p>
    <w:p w14:paraId="301385F9" w14:textId="77777777" w:rsidR="00035C5A" w:rsidRDefault="00035C5A" w:rsidP="00035C5A">
      <w:pPr>
        <w:outlineLvl w:val="0"/>
        <w:rPr>
          <w:rFonts w:ascii="Arial" w:hAnsi="Arial" w:cs="Arial"/>
          <w:b/>
          <w:bCs/>
          <w:color w:val="000000"/>
          <w:sz w:val="18"/>
          <w:szCs w:val="18"/>
          <w:lang w:val="sk-SK"/>
        </w:rPr>
      </w:pPr>
      <w:r w:rsidRPr="005D218F">
        <w:rPr>
          <w:rFonts w:ascii="Arial" w:hAnsi="Arial" w:cs="Arial"/>
          <w:b/>
          <w:lang w:val="sk-SK"/>
        </w:rPr>
        <w:t xml:space="preserve">Pre viac informácií, prosím kontaktujte ktoréhokoľvek člena </w:t>
      </w:r>
      <w:r w:rsidRPr="005D218F">
        <w:rPr>
          <w:rFonts w:ascii="Arial" w:hAnsi="Arial" w:cs="Arial"/>
          <w:b/>
          <w:bCs/>
          <w:color w:val="000000"/>
          <w:sz w:val="18"/>
          <w:szCs w:val="18"/>
          <w:lang w:val="sk-SK"/>
        </w:rPr>
        <w:t xml:space="preserve">Bratislava </w:t>
      </w:r>
      <w:proofErr w:type="spellStart"/>
      <w:r w:rsidRPr="005D218F">
        <w:rPr>
          <w:rFonts w:ascii="Arial" w:hAnsi="Arial" w:cs="Arial"/>
          <w:b/>
          <w:bCs/>
          <w:color w:val="000000"/>
          <w:sz w:val="18"/>
          <w:szCs w:val="18"/>
          <w:lang w:val="sk-SK"/>
        </w:rPr>
        <w:t>Research</w:t>
      </w:r>
      <w:proofErr w:type="spellEnd"/>
      <w:r w:rsidRPr="005D218F">
        <w:rPr>
          <w:rFonts w:ascii="Arial" w:hAnsi="Arial" w:cs="Arial"/>
          <w:b/>
          <w:bCs/>
          <w:color w:val="000000"/>
          <w:sz w:val="18"/>
          <w:szCs w:val="18"/>
          <w:lang w:val="sk-SK"/>
        </w:rPr>
        <w:t xml:space="preserve"> </w:t>
      </w:r>
      <w:proofErr w:type="spellStart"/>
      <w:r w:rsidRPr="005D218F">
        <w:rPr>
          <w:rFonts w:ascii="Arial" w:hAnsi="Arial" w:cs="Arial"/>
          <w:b/>
          <w:bCs/>
          <w:color w:val="000000"/>
          <w:sz w:val="18"/>
          <w:szCs w:val="18"/>
          <w:lang w:val="sk-SK"/>
        </w:rPr>
        <w:t>Forum</w:t>
      </w:r>
      <w:proofErr w:type="spellEnd"/>
      <w:r w:rsidRPr="005D218F">
        <w:rPr>
          <w:rFonts w:ascii="Arial" w:hAnsi="Arial" w:cs="Arial"/>
          <w:b/>
          <w:bCs/>
          <w:color w:val="000000"/>
          <w:sz w:val="18"/>
          <w:szCs w:val="18"/>
          <w:lang w:val="sk-SK"/>
        </w:rPr>
        <w:t>.</w:t>
      </w:r>
    </w:p>
    <w:p w14:paraId="6F5C7AF5" w14:textId="77777777" w:rsidR="00D674F3" w:rsidRDefault="00D674F3" w:rsidP="00D674F3">
      <w:pPr>
        <w:rPr>
          <w:rFonts w:ascii="Arial" w:hAnsi="Arial" w:cs="Arial"/>
          <w:b/>
          <w:sz w:val="18"/>
          <w:szCs w:val="18"/>
          <w:lang w:val="sk-SK"/>
        </w:rPr>
      </w:pPr>
    </w:p>
    <w:p w14:paraId="145BBD49" w14:textId="477092D0" w:rsidR="00D674F3" w:rsidRDefault="00035C5A" w:rsidP="00D674F3">
      <w:pPr>
        <w:rPr>
          <w:rFonts w:ascii="Arial" w:hAnsi="Arial" w:cs="Arial"/>
          <w:b/>
          <w:sz w:val="18"/>
          <w:szCs w:val="18"/>
          <w:lang w:val="sk-SK"/>
        </w:rPr>
      </w:pPr>
      <w:r>
        <w:rPr>
          <w:rFonts w:ascii="Arial" w:hAnsi="Arial" w:cs="Arial"/>
          <w:b/>
          <w:noProof/>
          <w:sz w:val="18"/>
          <w:szCs w:val="18"/>
          <w:lang w:val="sk-SK"/>
        </w:rPr>
        <w:drawing>
          <wp:anchor distT="0" distB="0" distL="114300" distR="114300" simplePos="0" relativeHeight="251686912" behindDoc="0" locked="0" layoutInCell="1" allowOverlap="1" wp14:anchorId="08798A46" wp14:editId="0A1B0C1E">
            <wp:simplePos x="0" y="0"/>
            <wp:positionH relativeFrom="column">
              <wp:posOffset>4937125</wp:posOffset>
            </wp:positionH>
            <wp:positionV relativeFrom="paragraph">
              <wp:posOffset>111125</wp:posOffset>
            </wp:positionV>
            <wp:extent cx="1062990" cy="606425"/>
            <wp:effectExtent l="0" t="0" r="3810" b="3175"/>
            <wp:wrapSquare wrapText="bothSides"/>
            <wp:docPr id="15" name="Obrázok 15" descr="Obrázok, na ktorom je text, znak, vektorová grafika,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ok 15" descr="Obrázok, na ktorom je text, znak, vektorová grafika, snímka obrazovky&#10;&#10;Automaticky generovaný popi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2990" cy="606425"/>
                    </a:xfrm>
                    <a:prstGeom prst="rect">
                      <a:avLst/>
                    </a:prstGeom>
                  </pic:spPr>
                </pic:pic>
              </a:graphicData>
            </a:graphic>
            <wp14:sizeRelH relativeFrom="margin">
              <wp14:pctWidth>0</wp14:pctWidth>
            </wp14:sizeRelH>
            <wp14:sizeRelV relativeFrom="margin">
              <wp14:pctHeight>0</wp14:pctHeight>
            </wp14:sizeRelV>
          </wp:anchor>
        </w:drawing>
      </w:r>
    </w:p>
    <w:p w14:paraId="310127FD" w14:textId="4D04C4A3" w:rsidR="00D674F3" w:rsidRDefault="00F5221C" w:rsidP="00D674F3">
      <w:pPr>
        <w:rPr>
          <w:rFonts w:ascii="Arial" w:hAnsi="Arial" w:cs="Arial"/>
          <w:b/>
          <w:sz w:val="18"/>
          <w:szCs w:val="18"/>
          <w:lang w:val="sk-SK"/>
        </w:rPr>
      </w:pPr>
      <w:r w:rsidRPr="00FE73E4">
        <w:rPr>
          <w:rFonts w:ascii="Garamond" w:hAnsi="Garamond"/>
          <w:noProof/>
          <w:sz w:val="24"/>
          <w:lang w:val="en-US"/>
        </w:rPr>
        <w:drawing>
          <wp:anchor distT="0" distB="0" distL="114300" distR="114300" simplePos="0" relativeHeight="251683840" behindDoc="0" locked="0" layoutInCell="1" allowOverlap="1" wp14:anchorId="30EE3ABC" wp14:editId="73EF61DD">
            <wp:simplePos x="0" y="0"/>
            <wp:positionH relativeFrom="column">
              <wp:posOffset>1734185</wp:posOffset>
            </wp:positionH>
            <wp:positionV relativeFrom="paragraph">
              <wp:posOffset>68580</wp:posOffset>
            </wp:positionV>
            <wp:extent cx="1079500" cy="479425"/>
            <wp:effectExtent l="0" t="0" r="6350" b="0"/>
            <wp:wrapThrough wrapText="bothSides">
              <wp:wrapPolygon edited="0">
                <wp:start x="0" y="0"/>
                <wp:lineTo x="0" y="20599"/>
                <wp:lineTo x="21346" y="20599"/>
                <wp:lineTo x="21346" y="0"/>
                <wp:lineTo x="0" y="0"/>
              </wp:wrapPolygon>
            </wp:wrapThrough>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9500" cy="479425"/>
                    </a:xfrm>
                    <a:prstGeom prst="rect">
                      <a:avLst/>
                    </a:prstGeom>
                  </pic:spPr>
                </pic:pic>
              </a:graphicData>
            </a:graphic>
          </wp:anchor>
        </w:drawing>
      </w:r>
      <w:r w:rsidRPr="00FE73E4">
        <w:rPr>
          <w:rFonts w:ascii="Garamond" w:hAnsi="Garamond"/>
          <w:noProof/>
          <w:sz w:val="24"/>
          <w:lang w:val="en-US"/>
        </w:rPr>
        <w:drawing>
          <wp:anchor distT="0" distB="0" distL="114300" distR="114300" simplePos="0" relativeHeight="251685888" behindDoc="0" locked="0" layoutInCell="1" allowOverlap="1" wp14:anchorId="5F6F9A7C" wp14:editId="1E1FEC48">
            <wp:simplePos x="0" y="0"/>
            <wp:positionH relativeFrom="margin">
              <wp:posOffset>247650</wp:posOffset>
            </wp:positionH>
            <wp:positionV relativeFrom="paragraph">
              <wp:posOffset>12700</wp:posOffset>
            </wp:positionV>
            <wp:extent cx="1123950" cy="542925"/>
            <wp:effectExtent l="0" t="0" r="0" b="9525"/>
            <wp:wrapThrough wrapText="bothSides">
              <wp:wrapPolygon edited="0">
                <wp:start x="0" y="0"/>
                <wp:lineTo x="0" y="21221"/>
                <wp:lineTo x="21234" y="21221"/>
                <wp:lineTo x="21234" y="0"/>
                <wp:lineTo x="0" y="0"/>
              </wp:wrapPolygon>
            </wp:wrapThrough>
            <wp:docPr id="13" name="Picture 8" descr="2011_CBR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1_CBRE_Logo_Gre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542925"/>
                    </a:xfrm>
                    <a:prstGeom prst="rect">
                      <a:avLst/>
                    </a:prstGeom>
                    <a:noFill/>
                    <a:ln w="9525">
                      <a:noFill/>
                      <a:miter lim="800000"/>
                      <a:headEnd/>
                      <a:tailEnd/>
                    </a:ln>
                  </pic:spPr>
                </pic:pic>
              </a:graphicData>
            </a:graphic>
          </wp:anchor>
        </w:drawing>
      </w:r>
    </w:p>
    <w:p w14:paraId="2625B512" w14:textId="120DBB46" w:rsidR="00035C5A" w:rsidRDefault="00F5221C" w:rsidP="00D674F3">
      <w:pPr>
        <w:rPr>
          <w:rFonts w:ascii="Arial" w:hAnsi="Arial" w:cs="Arial"/>
          <w:b/>
          <w:sz w:val="18"/>
          <w:szCs w:val="18"/>
          <w:lang w:val="sk-SK"/>
        </w:rPr>
      </w:pPr>
      <w:r w:rsidRPr="00FE73E4">
        <w:rPr>
          <w:rFonts w:ascii="Garamond" w:hAnsi="Garamond"/>
          <w:noProof/>
          <w:sz w:val="24"/>
          <w:lang w:val="en-US"/>
        </w:rPr>
        <w:drawing>
          <wp:anchor distT="0" distB="0" distL="114300" distR="114300" simplePos="0" relativeHeight="251681792" behindDoc="0" locked="0" layoutInCell="1" allowOverlap="1" wp14:anchorId="3682467E" wp14:editId="24A47C12">
            <wp:simplePos x="0" y="0"/>
            <wp:positionH relativeFrom="margin">
              <wp:posOffset>3076575</wp:posOffset>
            </wp:positionH>
            <wp:positionV relativeFrom="paragraph">
              <wp:posOffset>8255</wp:posOffset>
            </wp:positionV>
            <wp:extent cx="1621790" cy="337820"/>
            <wp:effectExtent l="0" t="0" r="0" b="5080"/>
            <wp:wrapThrough wrapText="bothSides">
              <wp:wrapPolygon edited="0">
                <wp:start x="2537" y="0"/>
                <wp:lineTo x="0" y="8526"/>
                <wp:lineTo x="0" y="20707"/>
                <wp:lineTo x="21312" y="20707"/>
                <wp:lineTo x="21312" y="2436"/>
                <wp:lineTo x="3806" y="0"/>
                <wp:lineTo x="2537" y="0"/>
              </wp:wrapPolygon>
            </wp:wrapThrough>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1790" cy="337820"/>
                    </a:xfrm>
                    <a:prstGeom prst="rect">
                      <a:avLst/>
                    </a:prstGeom>
                    <a:noFill/>
                  </pic:spPr>
                </pic:pic>
              </a:graphicData>
            </a:graphic>
            <wp14:sizeRelH relativeFrom="margin">
              <wp14:pctWidth>0</wp14:pctWidth>
            </wp14:sizeRelH>
            <wp14:sizeRelV relativeFrom="margin">
              <wp14:pctHeight>0</wp14:pctHeight>
            </wp14:sizeRelV>
          </wp:anchor>
        </w:drawing>
      </w:r>
    </w:p>
    <w:p w14:paraId="10081EFB" w14:textId="4C406FEA" w:rsidR="00035C5A" w:rsidRDefault="00035C5A" w:rsidP="00D674F3">
      <w:pPr>
        <w:rPr>
          <w:rFonts w:ascii="Arial" w:hAnsi="Arial" w:cs="Arial"/>
          <w:b/>
          <w:sz w:val="18"/>
          <w:szCs w:val="18"/>
          <w:lang w:val="sk-SK"/>
        </w:rPr>
      </w:pPr>
    </w:p>
    <w:p w14:paraId="697132F9" w14:textId="0607E9C4" w:rsidR="00035C5A" w:rsidRDefault="00035C5A" w:rsidP="00D674F3">
      <w:pPr>
        <w:rPr>
          <w:rFonts w:ascii="Arial" w:hAnsi="Arial" w:cs="Arial"/>
          <w:b/>
          <w:sz w:val="18"/>
          <w:szCs w:val="18"/>
          <w:lang w:val="sk-SK"/>
        </w:rPr>
      </w:pPr>
    </w:p>
    <w:p w14:paraId="197FCBF7" w14:textId="39B7C1EB" w:rsidR="00035C5A" w:rsidRDefault="00035C5A" w:rsidP="00D674F3">
      <w:pPr>
        <w:rPr>
          <w:rFonts w:ascii="Arial" w:hAnsi="Arial" w:cs="Arial"/>
          <w:b/>
          <w:sz w:val="18"/>
          <w:szCs w:val="18"/>
          <w:lang w:val="sk-SK"/>
        </w:rPr>
      </w:pPr>
    </w:p>
    <w:p w14:paraId="7A583D12" w14:textId="7D6970C3" w:rsidR="00035C5A" w:rsidRDefault="00035C5A" w:rsidP="00D674F3">
      <w:pPr>
        <w:rPr>
          <w:rFonts w:ascii="Arial" w:hAnsi="Arial" w:cs="Arial"/>
          <w:b/>
          <w:sz w:val="18"/>
          <w:szCs w:val="18"/>
          <w:lang w:val="sk-SK"/>
        </w:rPr>
      </w:pPr>
    </w:p>
    <w:p w14:paraId="5117E213" w14:textId="24ACECCF" w:rsidR="00035C5A" w:rsidRDefault="00035C5A" w:rsidP="00D674F3">
      <w:pPr>
        <w:rPr>
          <w:rFonts w:ascii="Arial" w:hAnsi="Arial" w:cs="Arial"/>
          <w:b/>
          <w:sz w:val="18"/>
          <w:szCs w:val="18"/>
          <w:lang w:val="sk-SK"/>
        </w:rPr>
      </w:pPr>
    </w:p>
    <w:p w14:paraId="378C9824" w14:textId="6BAD9675" w:rsidR="00F12436" w:rsidRPr="00F12436" w:rsidRDefault="00D674F3" w:rsidP="00D674F3">
      <w:pPr>
        <w:rPr>
          <w:rFonts w:ascii="Arial" w:hAnsi="Arial" w:cs="Arial"/>
          <w:b/>
          <w:sz w:val="18"/>
          <w:szCs w:val="18"/>
          <w:lang w:val="sk-SK"/>
        </w:rPr>
      </w:pPr>
      <w:r w:rsidRPr="00D674F3">
        <w:rPr>
          <w:rFonts w:ascii="Arial" w:hAnsi="Arial" w:cs="Arial"/>
          <w:b/>
          <w:noProof/>
          <w:sz w:val="18"/>
          <w:szCs w:val="18"/>
          <w:lang w:val="sk-SK"/>
        </w:rPr>
        <w:drawing>
          <wp:anchor distT="0" distB="0" distL="114300" distR="114300" simplePos="0" relativeHeight="251679744" behindDoc="0" locked="0" layoutInCell="1" allowOverlap="1" wp14:anchorId="589BF9D7" wp14:editId="23B936F1">
            <wp:simplePos x="0" y="0"/>
            <wp:positionH relativeFrom="margin">
              <wp:posOffset>4574540</wp:posOffset>
            </wp:positionH>
            <wp:positionV relativeFrom="margin">
              <wp:posOffset>132715</wp:posOffset>
            </wp:positionV>
            <wp:extent cx="1752600" cy="640080"/>
            <wp:effectExtent l="0" t="0" r="0" b="7620"/>
            <wp:wrapSquare wrapText="bothSides"/>
            <wp:docPr id="10" name="Picture 10"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2600" cy="640080"/>
                    </a:xfrm>
                    <a:prstGeom prst="rect">
                      <a:avLst/>
                    </a:prstGeom>
                    <a:noFill/>
                    <a:ln>
                      <a:noFill/>
                    </a:ln>
                  </pic:spPr>
                </pic:pic>
              </a:graphicData>
            </a:graphic>
          </wp:anchor>
        </w:drawing>
      </w:r>
      <w:r w:rsidR="00F12436" w:rsidRPr="00F12436">
        <w:rPr>
          <w:rFonts w:ascii="Arial" w:hAnsi="Arial" w:cs="Arial"/>
          <w:b/>
          <w:sz w:val="18"/>
          <w:szCs w:val="18"/>
          <w:lang w:val="sk-SK"/>
        </w:rPr>
        <w:t xml:space="preserve">O Bratislava </w:t>
      </w:r>
      <w:proofErr w:type="spellStart"/>
      <w:r w:rsidR="00F12436" w:rsidRPr="00F12436">
        <w:rPr>
          <w:rFonts w:ascii="Arial" w:hAnsi="Arial" w:cs="Arial"/>
          <w:b/>
          <w:sz w:val="18"/>
          <w:szCs w:val="18"/>
          <w:lang w:val="sk-SK"/>
        </w:rPr>
        <w:t>Research</w:t>
      </w:r>
      <w:proofErr w:type="spellEnd"/>
      <w:r w:rsidR="00F12436" w:rsidRPr="00F12436">
        <w:rPr>
          <w:rFonts w:ascii="Arial" w:hAnsi="Arial" w:cs="Arial"/>
          <w:b/>
          <w:sz w:val="18"/>
          <w:szCs w:val="18"/>
          <w:lang w:val="sk-SK"/>
        </w:rPr>
        <w:t xml:space="preserve"> </w:t>
      </w:r>
      <w:proofErr w:type="spellStart"/>
      <w:r w:rsidR="00F12436" w:rsidRPr="00F12436">
        <w:rPr>
          <w:rFonts w:ascii="Arial" w:hAnsi="Arial" w:cs="Arial"/>
          <w:b/>
          <w:sz w:val="18"/>
          <w:szCs w:val="18"/>
          <w:lang w:val="sk-SK"/>
        </w:rPr>
        <w:t>Forum</w:t>
      </w:r>
      <w:proofErr w:type="spellEnd"/>
    </w:p>
    <w:p w14:paraId="27B56802" w14:textId="77777777" w:rsidR="00F12436" w:rsidRDefault="00F12436" w:rsidP="00F12436">
      <w:pPr>
        <w:jc w:val="both"/>
        <w:rPr>
          <w:rFonts w:ascii="Arial" w:hAnsi="Arial" w:cs="Arial"/>
          <w:sz w:val="18"/>
          <w:szCs w:val="18"/>
          <w:lang w:val="sk-SK"/>
        </w:rPr>
      </w:pPr>
    </w:p>
    <w:p w14:paraId="7563E0C7" w14:textId="77777777" w:rsidR="00F12436" w:rsidRPr="005D218F" w:rsidRDefault="00F12436" w:rsidP="00F12436">
      <w:pPr>
        <w:jc w:val="both"/>
        <w:rPr>
          <w:rFonts w:ascii="Arial" w:hAnsi="Arial" w:cs="Arial"/>
          <w:sz w:val="18"/>
          <w:szCs w:val="18"/>
          <w:lang w:val="sk-SK"/>
        </w:rPr>
      </w:pPr>
      <w:r>
        <w:rPr>
          <w:rFonts w:ascii="Arial" w:hAnsi="Arial" w:cs="Arial"/>
          <w:sz w:val="18"/>
          <w:szCs w:val="18"/>
          <w:lang w:val="sk-SK"/>
        </w:rPr>
        <w:t>Č</w:t>
      </w:r>
      <w:r w:rsidRPr="005D218F">
        <w:rPr>
          <w:rFonts w:ascii="Arial" w:hAnsi="Arial" w:cs="Arial"/>
          <w:sz w:val="18"/>
          <w:szCs w:val="18"/>
          <w:lang w:val="sk-SK"/>
        </w:rPr>
        <w:t xml:space="preserve">lenovia tohto fóra – </w:t>
      </w:r>
      <w:proofErr w:type="spellStart"/>
      <w:r w:rsidRPr="005D218F">
        <w:rPr>
          <w:rFonts w:ascii="Arial" w:hAnsi="Arial" w:cs="Arial"/>
          <w:sz w:val="18"/>
          <w:szCs w:val="18"/>
          <w:lang w:val="sk-SK"/>
        </w:rPr>
        <w:t>Cushman</w:t>
      </w:r>
      <w:proofErr w:type="spellEnd"/>
      <w:r w:rsidRPr="005D218F">
        <w:rPr>
          <w:rFonts w:ascii="Arial" w:hAnsi="Arial" w:cs="Arial"/>
          <w:sz w:val="18"/>
          <w:szCs w:val="18"/>
          <w:lang w:val="sk-SK"/>
        </w:rPr>
        <w:t xml:space="preserve"> &amp; </w:t>
      </w:r>
      <w:proofErr w:type="spellStart"/>
      <w:r w:rsidRPr="005D218F">
        <w:rPr>
          <w:rFonts w:ascii="Arial" w:hAnsi="Arial" w:cs="Arial"/>
          <w:sz w:val="18"/>
          <w:szCs w:val="18"/>
          <w:lang w:val="sk-SK"/>
        </w:rPr>
        <w:t>Wakefield</w:t>
      </w:r>
      <w:proofErr w:type="spellEnd"/>
      <w:r w:rsidRPr="005D218F">
        <w:rPr>
          <w:rFonts w:ascii="Arial" w:hAnsi="Arial" w:cs="Arial"/>
          <w:sz w:val="18"/>
          <w:szCs w:val="18"/>
          <w:lang w:val="sk-SK"/>
        </w:rPr>
        <w:t xml:space="preserve">, CBRE, </w:t>
      </w:r>
      <w:proofErr w:type="spellStart"/>
      <w:r w:rsidRPr="005D218F">
        <w:rPr>
          <w:rFonts w:ascii="Arial" w:hAnsi="Arial" w:cs="Arial"/>
          <w:sz w:val="18"/>
          <w:szCs w:val="18"/>
          <w:lang w:val="sk-SK"/>
        </w:rPr>
        <w:t>Colliers</w:t>
      </w:r>
      <w:proofErr w:type="spellEnd"/>
      <w:r w:rsidRPr="005D218F">
        <w:rPr>
          <w:rFonts w:ascii="Arial" w:hAnsi="Arial" w:cs="Arial"/>
          <w:sz w:val="18"/>
          <w:szCs w:val="18"/>
          <w:lang w:val="sk-SK"/>
        </w:rPr>
        <w:t xml:space="preserve"> International a JLL zdieľajú informácie, ktoré nie sú dôverné s cieľom poskytnúť klientom a verejnosti konzistentné, správne a transparentné dáta o trhu kancelárskych priestorov v Bratislave.</w:t>
      </w:r>
    </w:p>
    <w:p w14:paraId="13B31A26" w14:textId="77777777" w:rsidR="00F12436" w:rsidRPr="005D218F" w:rsidRDefault="00F12436" w:rsidP="00F12436">
      <w:pPr>
        <w:jc w:val="both"/>
        <w:rPr>
          <w:rFonts w:ascii="Arial" w:hAnsi="Arial" w:cs="Arial"/>
          <w:sz w:val="18"/>
          <w:szCs w:val="18"/>
          <w:lang w:val="sk-SK"/>
        </w:rPr>
      </w:pPr>
    </w:p>
    <w:p w14:paraId="58FECDFD" w14:textId="35D44A87" w:rsidR="00F12436" w:rsidRDefault="00F12436" w:rsidP="00F12436">
      <w:pPr>
        <w:jc w:val="both"/>
        <w:rPr>
          <w:rFonts w:ascii="Arial" w:hAnsi="Arial" w:cs="Arial"/>
          <w:sz w:val="18"/>
          <w:szCs w:val="18"/>
          <w:lang w:val="sk-SK"/>
        </w:rPr>
      </w:pPr>
    </w:p>
    <w:p w14:paraId="777871F6" w14:textId="77777777" w:rsidR="00F12436" w:rsidRPr="00CB446C" w:rsidRDefault="00F12436" w:rsidP="00F12436">
      <w:pPr>
        <w:jc w:val="both"/>
        <w:rPr>
          <w:rFonts w:ascii="Garamond" w:hAnsi="Garamond"/>
          <w:sz w:val="24"/>
          <w:lang w:val="sk-SK"/>
        </w:rPr>
      </w:pPr>
      <w:r w:rsidRPr="005D218F">
        <w:rPr>
          <w:rFonts w:ascii="Arial" w:hAnsi="Arial" w:cs="Arial"/>
          <w:b/>
          <w:noProof/>
          <w:sz w:val="18"/>
          <w:szCs w:val="18"/>
          <w:lang w:val="sk-SK"/>
        </w:rPr>
        <w:t>Definície</w:t>
      </w:r>
    </w:p>
    <w:p w14:paraId="62B8D6DD" w14:textId="4793FFF9" w:rsidR="00F12436" w:rsidRPr="005D218F" w:rsidRDefault="00F12436" w:rsidP="00F12436">
      <w:pPr>
        <w:spacing w:before="120"/>
        <w:jc w:val="both"/>
        <w:outlineLvl w:val="0"/>
        <w:rPr>
          <w:rFonts w:ascii="Arial" w:hAnsi="Arial" w:cs="Arial"/>
          <w:i/>
          <w:noProof/>
          <w:sz w:val="18"/>
          <w:szCs w:val="18"/>
          <w:lang w:val="sk-SK"/>
        </w:rPr>
      </w:pPr>
      <w:r w:rsidRPr="005D218F">
        <w:rPr>
          <w:rFonts w:ascii="Arial" w:hAnsi="Arial" w:cs="Arial"/>
          <w:b/>
          <w:i/>
          <w:noProof/>
          <w:sz w:val="18"/>
          <w:szCs w:val="18"/>
          <w:lang w:val="sk-SK"/>
        </w:rPr>
        <w:t>Ponuka kancelárskych priestorov – celkový objem kancelárskych priestorov (Stock)</w:t>
      </w:r>
      <w:r w:rsidRPr="005D218F">
        <w:rPr>
          <w:rFonts w:ascii="Arial" w:hAnsi="Arial" w:cs="Arial"/>
          <w:i/>
          <w:noProof/>
          <w:sz w:val="18"/>
          <w:szCs w:val="18"/>
          <w:lang w:val="sk-SK"/>
        </w:rPr>
        <w:t xml:space="preserve">: Skolaudované budovy po roku 1993 – zrekonštruované alebo novopostavené, prenajaté alebo v ponuke v štandarde A alebo B v prenájme vlastníka alebo iných nájomníkov. </w:t>
      </w:r>
    </w:p>
    <w:p w14:paraId="6817B6B9" w14:textId="77777777" w:rsidR="00F12436" w:rsidRPr="005D218F" w:rsidRDefault="00F12436" w:rsidP="00F12436">
      <w:pPr>
        <w:spacing w:before="120" w:after="120"/>
        <w:jc w:val="both"/>
        <w:outlineLvl w:val="0"/>
        <w:rPr>
          <w:rFonts w:ascii="Arial" w:hAnsi="Arial" w:cs="Arial"/>
          <w:i/>
          <w:noProof/>
          <w:sz w:val="18"/>
          <w:szCs w:val="18"/>
          <w:lang w:val="sk-SK"/>
        </w:rPr>
      </w:pPr>
      <w:r w:rsidRPr="005D218F">
        <w:rPr>
          <w:rFonts w:ascii="Arial" w:hAnsi="Arial" w:cs="Arial"/>
          <w:b/>
          <w:i/>
          <w:noProof/>
          <w:sz w:val="18"/>
          <w:szCs w:val="18"/>
          <w:lang w:val="sk-SK"/>
        </w:rPr>
        <w:t>Nová ponuka (New supply)</w:t>
      </w:r>
      <w:r w:rsidRPr="005D218F">
        <w:rPr>
          <w:rFonts w:ascii="Arial" w:hAnsi="Arial" w:cs="Arial"/>
          <w:i/>
          <w:noProof/>
          <w:sz w:val="18"/>
          <w:szCs w:val="18"/>
          <w:lang w:val="sk-SK"/>
        </w:rPr>
        <w:t>: Zrekonštruované a novopostavené stavby v určitom časovom období.</w:t>
      </w:r>
    </w:p>
    <w:p w14:paraId="70C9BA42" w14:textId="77777777" w:rsidR="00F12436" w:rsidRPr="005D218F" w:rsidRDefault="00F12436" w:rsidP="00F12436">
      <w:pPr>
        <w:overflowPunct w:val="0"/>
        <w:autoSpaceDE w:val="0"/>
        <w:autoSpaceDN w:val="0"/>
        <w:adjustRightInd w:val="0"/>
        <w:jc w:val="both"/>
        <w:textAlignment w:val="baseline"/>
        <w:rPr>
          <w:rFonts w:ascii="Arial" w:hAnsi="Arial" w:cs="Arial"/>
          <w:i/>
          <w:noProof/>
          <w:sz w:val="18"/>
          <w:szCs w:val="18"/>
          <w:lang w:val="sk-SK"/>
        </w:rPr>
      </w:pPr>
      <w:r w:rsidRPr="005D218F">
        <w:rPr>
          <w:rFonts w:ascii="Arial" w:hAnsi="Arial" w:cs="Arial"/>
          <w:b/>
          <w:i/>
          <w:noProof/>
          <w:sz w:val="18"/>
          <w:szCs w:val="18"/>
          <w:lang w:val="sk-SK"/>
        </w:rPr>
        <w:t>Budovy v štandarde A</w:t>
      </w:r>
      <w:r w:rsidRPr="005D218F">
        <w:rPr>
          <w:rFonts w:ascii="Arial" w:hAnsi="Arial" w:cs="Arial"/>
          <w:i/>
          <w:noProof/>
          <w:sz w:val="18"/>
          <w:szCs w:val="18"/>
          <w:lang w:val="sk-SK"/>
        </w:rPr>
        <w:t>: Zaradenie zahŕňa splnenie nadštandartných kritérií vrátane nasledujúcich: integrovaný klimatizačný systém, obmedzená hĺbka priestorov, svetlá výška minimálne 2,75 m, flexibilita priestoru, žľaby pre telefónne prípojky, elektrinu a dátové káble alebo zdvojená podlaha, recepcia, krytý prístup autom, výťahy, vstup pre imobilných, záložné zdroje energie.</w:t>
      </w:r>
    </w:p>
    <w:p w14:paraId="05FB7B21" w14:textId="77777777" w:rsidR="00F12436" w:rsidRPr="005D218F" w:rsidRDefault="00F12436" w:rsidP="00F12436">
      <w:pPr>
        <w:pStyle w:val="Heading1"/>
        <w:spacing w:before="120" w:after="120"/>
        <w:jc w:val="both"/>
        <w:rPr>
          <w:rFonts w:cs="Arial"/>
          <w:b w:val="0"/>
          <w:i/>
          <w:kern w:val="0"/>
          <w:sz w:val="18"/>
          <w:szCs w:val="18"/>
          <w:lang w:val="sk-SK"/>
        </w:rPr>
      </w:pPr>
      <w:r w:rsidRPr="005D218F">
        <w:rPr>
          <w:rFonts w:cs="Arial"/>
          <w:i/>
          <w:kern w:val="0"/>
          <w:sz w:val="18"/>
          <w:szCs w:val="18"/>
          <w:lang w:val="sk-SK"/>
        </w:rPr>
        <w:t>Budovy v štandarde B</w:t>
      </w:r>
      <w:r w:rsidRPr="005D218F">
        <w:rPr>
          <w:rFonts w:cs="Arial"/>
          <w:b w:val="0"/>
          <w:i/>
          <w:kern w:val="0"/>
          <w:sz w:val="18"/>
          <w:szCs w:val="18"/>
          <w:lang w:val="sk-SK"/>
        </w:rPr>
        <w:t>: Zahŕňajú typickú nehnuteľnosť na trhu na základe vyššie spomenutých kritérií.</w:t>
      </w:r>
    </w:p>
    <w:p w14:paraId="1BAF4BED" w14:textId="77777777" w:rsidR="00F12436" w:rsidRPr="005D218F" w:rsidRDefault="00F12436" w:rsidP="00F12436">
      <w:pPr>
        <w:jc w:val="both"/>
        <w:outlineLvl w:val="0"/>
        <w:rPr>
          <w:rFonts w:ascii="Arial" w:hAnsi="Arial" w:cs="Arial"/>
          <w:i/>
          <w:sz w:val="18"/>
          <w:szCs w:val="18"/>
          <w:lang w:val="sk-SK"/>
        </w:rPr>
      </w:pPr>
      <w:r w:rsidRPr="005D218F">
        <w:rPr>
          <w:rFonts w:ascii="Arial" w:hAnsi="Arial" w:cs="Arial"/>
          <w:b/>
          <w:i/>
          <w:sz w:val="18"/>
          <w:szCs w:val="18"/>
          <w:lang w:val="sk-SK"/>
        </w:rPr>
        <w:t>Transakcie na trhu kancelárskych priestorov (</w:t>
      </w:r>
      <w:proofErr w:type="spellStart"/>
      <w:r w:rsidRPr="005D218F">
        <w:rPr>
          <w:rFonts w:ascii="Arial" w:hAnsi="Arial" w:cs="Arial"/>
          <w:b/>
          <w:i/>
          <w:sz w:val="18"/>
          <w:szCs w:val="18"/>
          <w:lang w:val="sk-SK"/>
        </w:rPr>
        <w:t>Take-up</w:t>
      </w:r>
      <w:proofErr w:type="spellEnd"/>
      <w:r w:rsidRPr="005D218F">
        <w:rPr>
          <w:rFonts w:ascii="Arial" w:hAnsi="Arial" w:cs="Arial"/>
          <w:b/>
          <w:i/>
          <w:sz w:val="18"/>
          <w:szCs w:val="18"/>
          <w:lang w:val="sk-SK"/>
        </w:rPr>
        <w:t>)</w:t>
      </w:r>
      <w:r w:rsidRPr="005D218F">
        <w:rPr>
          <w:rFonts w:ascii="Arial" w:hAnsi="Arial" w:cs="Arial"/>
          <w:i/>
          <w:sz w:val="18"/>
          <w:szCs w:val="18"/>
          <w:lang w:val="sk-SK"/>
        </w:rPr>
        <w:t>: Hrubé čísla predstavujúce celkovú podlažnú plochu, ktorá bola prenajatá, predaná nájomcom počas určitého časového obdobia. Neobsahuje voľné priestory, ktoré sú v ponuke. Nehnuteľnosť sa považuje za prenajatú dňom podpisu nájomnej zmluvy alebo zmluvy o budúcej nájomnej zmluve. Súhrnné transakcie (</w:t>
      </w:r>
      <w:proofErr w:type="spellStart"/>
      <w:r w:rsidRPr="005D218F">
        <w:rPr>
          <w:rFonts w:ascii="Arial" w:hAnsi="Arial" w:cs="Arial"/>
          <w:i/>
          <w:sz w:val="18"/>
          <w:szCs w:val="18"/>
          <w:lang w:val="sk-SK"/>
        </w:rPr>
        <w:t>Total</w:t>
      </w:r>
      <w:proofErr w:type="spellEnd"/>
      <w:r w:rsidRPr="005D218F">
        <w:rPr>
          <w:rFonts w:ascii="Arial" w:hAnsi="Arial" w:cs="Arial"/>
          <w:i/>
          <w:sz w:val="18"/>
          <w:szCs w:val="18"/>
          <w:lang w:val="sk-SK"/>
        </w:rPr>
        <w:t xml:space="preserve"> </w:t>
      </w:r>
      <w:proofErr w:type="spellStart"/>
      <w:r w:rsidRPr="005D218F">
        <w:rPr>
          <w:rFonts w:ascii="Arial" w:hAnsi="Arial" w:cs="Arial"/>
          <w:i/>
          <w:sz w:val="18"/>
          <w:szCs w:val="18"/>
          <w:lang w:val="sk-SK"/>
        </w:rPr>
        <w:t>take-up</w:t>
      </w:r>
      <w:proofErr w:type="spellEnd"/>
      <w:r w:rsidRPr="005D218F">
        <w:rPr>
          <w:rFonts w:ascii="Arial" w:hAnsi="Arial" w:cs="Arial"/>
          <w:i/>
          <w:sz w:val="18"/>
          <w:szCs w:val="18"/>
          <w:lang w:val="sk-SK"/>
        </w:rPr>
        <w:t xml:space="preserve">) zahŕňa aj obnovenia nájomných zmlúv, čisté transakcie (net </w:t>
      </w:r>
      <w:proofErr w:type="spellStart"/>
      <w:r w:rsidRPr="005D218F">
        <w:rPr>
          <w:rFonts w:ascii="Arial" w:hAnsi="Arial" w:cs="Arial"/>
          <w:i/>
          <w:sz w:val="18"/>
          <w:szCs w:val="18"/>
          <w:lang w:val="sk-SK"/>
        </w:rPr>
        <w:t>take-up</w:t>
      </w:r>
      <w:proofErr w:type="spellEnd"/>
      <w:r w:rsidRPr="005D218F">
        <w:rPr>
          <w:rFonts w:ascii="Arial" w:hAnsi="Arial" w:cs="Arial"/>
          <w:i/>
          <w:sz w:val="18"/>
          <w:szCs w:val="18"/>
          <w:lang w:val="sk-SK"/>
        </w:rPr>
        <w:t>)neobsahujú obnovenia nájomných zmlúv.</w:t>
      </w:r>
    </w:p>
    <w:p w14:paraId="2F0079A6" w14:textId="77777777" w:rsidR="00F12436" w:rsidRPr="005D218F" w:rsidRDefault="00F12436" w:rsidP="00F12436">
      <w:pPr>
        <w:spacing w:before="120"/>
        <w:jc w:val="both"/>
        <w:outlineLvl w:val="0"/>
        <w:rPr>
          <w:rFonts w:ascii="Arial" w:hAnsi="Arial" w:cs="Arial"/>
          <w:i/>
          <w:noProof/>
          <w:sz w:val="18"/>
          <w:szCs w:val="18"/>
          <w:lang w:val="sk-SK"/>
        </w:rPr>
      </w:pPr>
      <w:r w:rsidRPr="005D218F">
        <w:rPr>
          <w:rFonts w:ascii="Arial" w:hAnsi="Arial" w:cs="Arial"/>
          <w:b/>
          <w:i/>
          <w:noProof/>
          <w:sz w:val="18"/>
          <w:szCs w:val="18"/>
          <w:lang w:val="sk-SK"/>
        </w:rPr>
        <w:t>Pre-lease</w:t>
      </w:r>
      <w:r w:rsidRPr="005D218F">
        <w:rPr>
          <w:rFonts w:ascii="Arial" w:hAnsi="Arial" w:cs="Arial"/>
          <w:i/>
          <w:noProof/>
          <w:sz w:val="18"/>
          <w:szCs w:val="18"/>
          <w:lang w:val="sk-SK"/>
        </w:rPr>
        <w:t xml:space="preserve">: </w:t>
      </w:r>
      <w:r w:rsidRPr="005D218F">
        <w:rPr>
          <w:rFonts w:ascii="Arial" w:hAnsi="Arial" w:cs="Arial"/>
          <w:i/>
          <w:color w:val="000000"/>
          <w:sz w:val="18"/>
          <w:szCs w:val="18"/>
          <w:lang w:val="sk-SK" w:eastAsia="cs-CZ"/>
        </w:rPr>
        <w:t>Aktívny pre-leasing pre kancelársku budovu označuje fázu, počas ktorej je budúcemu nájomcovi ponúknuté konkrétne rozloženie priestorov, pričom budova musí byť vo výstavbe.</w:t>
      </w:r>
    </w:p>
    <w:p w14:paraId="404791C6" w14:textId="77777777" w:rsidR="00F12436" w:rsidRPr="005D218F" w:rsidRDefault="00F12436" w:rsidP="00F12436">
      <w:pPr>
        <w:spacing w:before="120" w:after="120"/>
        <w:jc w:val="both"/>
        <w:outlineLvl w:val="0"/>
        <w:rPr>
          <w:rFonts w:ascii="Arial" w:hAnsi="Arial" w:cs="Arial"/>
          <w:i/>
          <w:noProof/>
          <w:sz w:val="18"/>
          <w:szCs w:val="18"/>
          <w:lang w:val="sk-SK"/>
        </w:rPr>
      </w:pPr>
      <w:r w:rsidRPr="005D218F">
        <w:rPr>
          <w:rFonts w:ascii="Arial" w:hAnsi="Arial" w:cs="Arial"/>
          <w:b/>
          <w:i/>
          <w:noProof/>
          <w:sz w:val="18"/>
          <w:szCs w:val="18"/>
          <w:lang w:val="sk-SK"/>
        </w:rPr>
        <w:t>Miera neobsadenosti kancelárskych priestorov (Vacancy rate)</w:t>
      </w:r>
      <w:r w:rsidRPr="005D218F">
        <w:rPr>
          <w:rFonts w:ascii="Arial" w:hAnsi="Arial" w:cs="Arial"/>
          <w:i/>
          <w:noProof/>
          <w:sz w:val="18"/>
          <w:szCs w:val="18"/>
          <w:lang w:val="sk-SK"/>
        </w:rPr>
        <w:t>: Percentuálne vyjadrenie voľných prenajímateľných kancelárskych priestorov v pomere k celkovej ponuke kancelárskych priestorov.</w:t>
      </w:r>
    </w:p>
    <w:p w14:paraId="14B022D0" w14:textId="77777777" w:rsidR="00F12436" w:rsidRPr="005D218F" w:rsidRDefault="00F12436" w:rsidP="00F12436">
      <w:pPr>
        <w:jc w:val="both"/>
        <w:rPr>
          <w:rFonts w:ascii="Arial" w:hAnsi="Arial" w:cs="Arial"/>
          <w:i/>
          <w:sz w:val="18"/>
          <w:szCs w:val="18"/>
          <w:lang w:val="sk-SK"/>
        </w:rPr>
      </w:pPr>
      <w:r w:rsidRPr="005D218F">
        <w:rPr>
          <w:rFonts w:ascii="Arial" w:hAnsi="Arial" w:cs="Arial"/>
          <w:b/>
          <w:i/>
          <w:sz w:val="18"/>
          <w:szCs w:val="18"/>
          <w:lang w:val="sk-SK"/>
        </w:rPr>
        <w:t>Prime rent</w:t>
      </w:r>
      <w:r w:rsidRPr="005D218F">
        <w:rPr>
          <w:rFonts w:ascii="Arial" w:hAnsi="Arial" w:cs="Arial"/>
          <w:i/>
          <w:sz w:val="18"/>
          <w:szCs w:val="18"/>
          <w:lang w:val="sk-SK"/>
        </w:rPr>
        <w:t xml:space="preserve">: Najvyššie dosiahnuté nájomné, ktoré sa vzťahuje na nové kancelárske jednotky s najvyšším štandardom v najlepších lokalitách </w:t>
      </w:r>
    </w:p>
    <w:p w14:paraId="44343CC9" w14:textId="504E2569" w:rsidR="001A4A53" w:rsidRDefault="001A4A53" w:rsidP="007733FB">
      <w:pPr>
        <w:rPr>
          <w:rFonts w:ascii="Arial" w:hAnsi="Arial" w:cs="Arial"/>
          <w:bCs/>
          <w:sz w:val="18"/>
          <w:szCs w:val="18"/>
          <w:lang w:val="sk-SK"/>
        </w:rPr>
      </w:pPr>
    </w:p>
    <w:p w14:paraId="60FE02A3" w14:textId="0BB80AB9" w:rsidR="00035C5A" w:rsidRDefault="00035C5A" w:rsidP="007733FB">
      <w:pPr>
        <w:rPr>
          <w:rFonts w:ascii="Arial" w:hAnsi="Arial" w:cs="Arial"/>
          <w:bCs/>
          <w:sz w:val="18"/>
          <w:szCs w:val="18"/>
          <w:lang w:val="sk-SK"/>
        </w:rPr>
      </w:pPr>
    </w:p>
    <w:p w14:paraId="2E801713" w14:textId="030212C4" w:rsidR="00035C5A" w:rsidRDefault="00035C5A" w:rsidP="007733FB">
      <w:pPr>
        <w:rPr>
          <w:rFonts w:ascii="Arial" w:hAnsi="Arial" w:cs="Arial"/>
          <w:bCs/>
          <w:sz w:val="18"/>
          <w:szCs w:val="18"/>
          <w:lang w:val="sk-SK"/>
        </w:rPr>
      </w:pPr>
    </w:p>
    <w:p w14:paraId="1B6879D2" w14:textId="1216257D" w:rsidR="00035C5A" w:rsidRDefault="00035C5A" w:rsidP="007733FB">
      <w:pPr>
        <w:rPr>
          <w:rFonts w:ascii="Arial" w:hAnsi="Arial" w:cs="Arial"/>
          <w:bCs/>
          <w:sz w:val="18"/>
          <w:szCs w:val="18"/>
          <w:lang w:val="sk-SK"/>
        </w:rPr>
      </w:pPr>
    </w:p>
    <w:p w14:paraId="76A8E8B9" w14:textId="48F509E0" w:rsidR="00035C5A" w:rsidRDefault="00035C5A" w:rsidP="007733FB">
      <w:pPr>
        <w:rPr>
          <w:rFonts w:ascii="Arial" w:hAnsi="Arial" w:cs="Arial"/>
          <w:bCs/>
          <w:sz w:val="18"/>
          <w:szCs w:val="18"/>
          <w:lang w:val="sk-SK"/>
        </w:rPr>
      </w:pPr>
    </w:p>
    <w:p w14:paraId="7B88BC33" w14:textId="47A8EAF6" w:rsidR="00035C5A" w:rsidRDefault="00035C5A" w:rsidP="007733FB">
      <w:pPr>
        <w:rPr>
          <w:rFonts w:ascii="Arial" w:hAnsi="Arial" w:cs="Arial"/>
          <w:bCs/>
          <w:sz w:val="18"/>
          <w:szCs w:val="18"/>
          <w:lang w:val="sk-SK"/>
        </w:rPr>
      </w:pPr>
    </w:p>
    <w:p w14:paraId="4545BB6C" w14:textId="77777777" w:rsidR="00035C5A" w:rsidRPr="005D218F" w:rsidRDefault="00035C5A" w:rsidP="007733FB">
      <w:pPr>
        <w:rPr>
          <w:rFonts w:ascii="Arial" w:hAnsi="Arial" w:cs="Arial"/>
          <w:bCs/>
          <w:sz w:val="18"/>
          <w:szCs w:val="18"/>
          <w:lang w:val="sk-SK"/>
        </w:rPr>
      </w:pPr>
    </w:p>
    <w:p w14:paraId="230CBFD7" w14:textId="77777777" w:rsidR="00C14A0F" w:rsidRPr="005D218F" w:rsidRDefault="00C14A0F" w:rsidP="007733FB">
      <w:pPr>
        <w:rPr>
          <w:rFonts w:ascii="Arial" w:hAnsi="Arial" w:cs="Arial"/>
          <w:bCs/>
          <w:sz w:val="18"/>
          <w:szCs w:val="18"/>
          <w:lang w:val="sk-SK"/>
        </w:rPr>
      </w:pPr>
    </w:p>
    <w:p w14:paraId="3978E5EC" w14:textId="77777777" w:rsidR="00035C5A" w:rsidRPr="00FE73E4" w:rsidRDefault="00035C5A" w:rsidP="00035C5A">
      <w:pPr>
        <w:autoSpaceDE w:val="0"/>
        <w:autoSpaceDN w:val="0"/>
        <w:adjustRightInd w:val="0"/>
        <w:spacing w:after="20"/>
        <w:jc w:val="both"/>
        <w:rPr>
          <w:rFonts w:ascii="Arial" w:hAnsi="Arial" w:cs="Arial"/>
          <w:b/>
          <w:lang w:val="en-US" w:eastAsia="cs-CZ"/>
        </w:rPr>
      </w:pPr>
      <w:r w:rsidRPr="00FE73E4">
        <w:rPr>
          <w:rFonts w:ascii="Arial" w:hAnsi="Arial" w:cs="Arial"/>
          <w:b/>
          <w:lang w:val="en-US" w:eastAsia="cs-CZ"/>
        </w:rPr>
        <w:t>COPYRIGHT © Bratislava Research Forum 20</w:t>
      </w:r>
      <w:r>
        <w:rPr>
          <w:rFonts w:ascii="Arial" w:hAnsi="Arial" w:cs="Arial"/>
          <w:b/>
          <w:lang w:val="en-US" w:eastAsia="cs-CZ"/>
        </w:rPr>
        <w:t>21</w:t>
      </w:r>
    </w:p>
    <w:p w14:paraId="6E19649A" w14:textId="77777777" w:rsidR="00035C5A" w:rsidRPr="00FE73E4" w:rsidRDefault="00035C5A" w:rsidP="00035C5A">
      <w:pPr>
        <w:jc w:val="both"/>
        <w:outlineLvl w:val="0"/>
        <w:rPr>
          <w:rFonts w:ascii="Arial" w:hAnsi="Arial" w:cs="Arial"/>
          <w:lang w:val="en-US" w:eastAsia="cs-CZ"/>
        </w:rPr>
      </w:pPr>
      <w:r w:rsidRPr="00FE73E4">
        <w:rPr>
          <w:rFonts w:ascii="Arial" w:hAnsi="Arial" w:cs="Arial"/>
          <w:lang w:val="en-US" w:eastAsia="cs-CZ"/>
        </w:rPr>
        <w:t xml:space="preserve">This publication is the sole property of the Bratislava Research Forum, (Members: Cushman and Wakefield, CBRE, Colliers International and Jones Lang LaSalle) and must not be copied, reproduced or transmitted in any form or by any means, either in whole or in part, without the prior written consent of the Bratislava Research Forum. The information contained in this publication has been obtained from sources generally regarded to be reliable. However, no representation is made, or warranty given, in respect of the accuracy of this information.  We would like to be informed of any inaccuracies so that we may correct them. </w:t>
      </w:r>
      <w:proofErr w:type="gramStart"/>
      <w:r w:rsidRPr="00FE73E4">
        <w:rPr>
          <w:rFonts w:ascii="Arial" w:hAnsi="Arial" w:cs="Arial"/>
          <w:lang w:val="en-US" w:eastAsia="cs-CZ"/>
        </w:rPr>
        <w:t>The Bratislava Research Forum,</w:t>
      </w:r>
      <w:proofErr w:type="gramEnd"/>
      <w:r w:rsidRPr="00FE73E4">
        <w:rPr>
          <w:rFonts w:ascii="Arial" w:hAnsi="Arial" w:cs="Arial"/>
          <w:lang w:val="en-US" w:eastAsia="cs-CZ"/>
        </w:rPr>
        <w:t xml:space="preserve"> does not accept any liability in negligence or otherwise for any loss or damage suffered by any party resulting from reliance on this publication.</w:t>
      </w:r>
    </w:p>
    <w:p w14:paraId="3B286642" w14:textId="31EF68D2" w:rsidR="00F520DB" w:rsidRPr="005D218F" w:rsidRDefault="00145B44" w:rsidP="009E4E3F">
      <w:pPr>
        <w:jc w:val="center"/>
        <w:outlineLvl w:val="0"/>
        <w:rPr>
          <w:rFonts w:ascii="Garamond" w:hAnsi="Garamond"/>
          <w:sz w:val="24"/>
          <w:lang w:val="sk-SK"/>
        </w:rPr>
      </w:pPr>
      <w:r w:rsidRPr="005D218F">
        <w:rPr>
          <w:rFonts w:ascii="Garamond" w:hAnsi="Garamond"/>
          <w:sz w:val="24"/>
          <w:lang w:val="sk-SK"/>
        </w:rPr>
        <w:tab/>
      </w:r>
      <w:r w:rsidRPr="005D218F">
        <w:rPr>
          <w:rFonts w:ascii="Garamond" w:hAnsi="Garamond"/>
          <w:sz w:val="24"/>
          <w:lang w:val="sk-SK"/>
        </w:rPr>
        <w:tab/>
      </w:r>
      <w:r w:rsidRPr="005D218F">
        <w:rPr>
          <w:rFonts w:ascii="Garamond" w:hAnsi="Garamond"/>
          <w:sz w:val="24"/>
          <w:lang w:val="sk-SK"/>
        </w:rPr>
        <w:tab/>
      </w:r>
    </w:p>
    <w:p w14:paraId="17E7D2F0" w14:textId="0F9B27D2" w:rsidR="00CB446C" w:rsidRDefault="00F5221C" w:rsidP="00CB446C">
      <w:pPr>
        <w:jc w:val="both"/>
        <w:rPr>
          <w:rFonts w:ascii="Garamond" w:hAnsi="Garamond"/>
          <w:sz w:val="24"/>
          <w:lang w:val="sk-SK"/>
        </w:rPr>
      </w:pPr>
      <w:r w:rsidRPr="000F7280">
        <w:rPr>
          <w:rFonts w:ascii="Garamond" w:hAnsi="Garamond"/>
          <w:noProof/>
          <w:sz w:val="24"/>
          <w:lang w:val="sk-SK" w:eastAsia="sk-SK"/>
        </w:rPr>
        <w:drawing>
          <wp:anchor distT="0" distB="0" distL="114300" distR="114300" simplePos="0" relativeHeight="251660288" behindDoc="0" locked="0" layoutInCell="1" allowOverlap="1" wp14:anchorId="6AFB4362" wp14:editId="71DD84B6">
            <wp:simplePos x="0" y="0"/>
            <wp:positionH relativeFrom="column">
              <wp:posOffset>1644015</wp:posOffset>
            </wp:positionH>
            <wp:positionV relativeFrom="paragraph">
              <wp:posOffset>172720</wp:posOffset>
            </wp:positionV>
            <wp:extent cx="1079500" cy="479425"/>
            <wp:effectExtent l="0" t="0" r="6350" b="0"/>
            <wp:wrapThrough wrapText="bothSides">
              <wp:wrapPolygon edited="0">
                <wp:start x="0" y="0"/>
                <wp:lineTo x="0" y="20599"/>
                <wp:lineTo x="21346" y="20599"/>
                <wp:lineTo x="21346" y="0"/>
                <wp:lineTo x="0" y="0"/>
              </wp:wrapPolygon>
            </wp:wrapThrough>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9500" cy="479425"/>
                    </a:xfrm>
                    <a:prstGeom prst="rect">
                      <a:avLst/>
                    </a:prstGeom>
                  </pic:spPr>
                </pic:pic>
              </a:graphicData>
            </a:graphic>
          </wp:anchor>
        </w:drawing>
      </w:r>
      <w:r w:rsidR="00140D00">
        <w:rPr>
          <w:rFonts w:ascii="Arial" w:hAnsi="Arial" w:cs="Arial"/>
          <w:noProof/>
          <w:lang w:val="en-US" w:eastAsia="cs-CZ"/>
        </w:rPr>
        <w:drawing>
          <wp:anchor distT="0" distB="0" distL="114300" distR="114300" simplePos="0" relativeHeight="251688960" behindDoc="1" locked="0" layoutInCell="1" allowOverlap="1" wp14:anchorId="206176FF" wp14:editId="4C2B4189">
            <wp:simplePos x="0" y="0"/>
            <wp:positionH relativeFrom="column">
              <wp:posOffset>5165090</wp:posOffset>
            </wp:positionH>
            <wp:positionV relativeFrom="paragraph">
              <wp:posOffset>114935</wp:posOffset>
            </wp:positionV>
            <wp:extent cx="901730" cy="5175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2808" cy="518144"/>
                    </a:xfrm>
                    <a:prstGeom prst="rect">
                      <a:avLst/>
                    </a:prstGeom>
                    <a:noFill/>
                  </pic:spPr>
                </pic:pic>
              </a:graphicData>
            </a:graphic>
            <wp14:sizeRelH relativeFrom="margin">
              <wp14:pctWidth>0</wp14:pctWidth>
            </wp14:sizeRelH>
            <wp14:sizeRelV relativeFrom="margin">
              <wp14:pctHeight>0</wp14:pctHeight>
            </wp14:sizeRelV>
          </wp:anchor>
        </w:drawing>
      </w:r>
    </w:p>
    <w:p w14:paraId="3393F650" w14:textId="4894FEA1" w:rsidR="00062BBE" w:rsidRDefault="00F5221C" w:rsidP="00CB446C">
      <w:pPr>
        <w:jc w:val="both"/>
        <w:rPr>
          <w:rFonts w:ascii="Garamond" w:hAnsi="Garamond"/>
          <w:sz w:val="24"/>
          <w:lang w:val="sk-SK"/>
        </w:rPr>
      </w:pPr>
      <w:r w:rsidRPr="000F7280">
        <w:rPr>
          <w:rFonts w:ascii="Garamond" w:hAnsi="Garamond"/>
          <w:noProof/>
          <w:sz w:val="24"/>
          <w:lang w:val="sk-SK" w:eastAsia="sk-SK"/>
        </w:rPr>
        <w:drawing>
          <wp:anchor distT="0" distB="0" distL="114300" distR="114300" simplePos="0" relativeHeight="251662336" behindDoc="0" locked="0" layoutInCell="1" allowOverlap="1" wp14:anchorId="0E9E0EC6" wp14:editId="4EAA4FA7">
            <wp:simplePos x="0" y="0"/>
            <wp:positionH relativeFrom="column">
              <wp:posOffset>3105150</wp:posOffset>
            </wp:positionH>
            <wp:positionV relativeFrom="paragraph">
              <wp:posOffset>71755</wp:posOffset>
            </wp:positionV>
            <wp:extent cx="1621790" cy="337820"/>
            <wp:effectExtent l="0" t="0" r="0" b="5080"/>
            <wp:wrapThrough wrapText="bothSides">
              <wp:wrapPolygon edited="0">
                <wp:start x="2537" y="0"/>
                <wp:lineTo x="0" y="8526"/>
                <wp:lineTo x="0" y="20707"/>
                <wp:lineTo x="21312" y="20707"/>
                <wp:lineTo x="21312" y="2436"/>
                <wp:lineTo x="3806" y="0"/>
                <wp:lineTo x="2537"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1790" cy="337820"/>
                    </a:xfrm>
                    <a:prstGeom prst="rect">
                      <a:avLst/>
                    </a:prstGeom>
                    <a:noFill/>
                  </pic:spPr>
                </pic:pic>
              </a:graphicData>
            </a:graphic>
          </wp:anchor>
        </w:drawing>
      </w:r>
      <w:r w:rsidRPr="000F7280">
        <w:rPr>
          <w:rFonts w:ascii="Garamond" w:hAnsi="Garamond"/>
          <w:noProof/>
          <w:sz w:val="24"/>
          <w:lang w:val="sk-SK" w:eastAsia="sk-SK"/>
        </w:rPr>
        <w:drawing>
          <wp:anchor distT="0" distB="0" distL="114300" distR="114300" simplePos="0" relativeHeight="251659264" behindDoc="0" locked="0" layoutInCell="1" allowOverlap="1" wp14:anchorId="71E98E91" wp14:editId="0377DF6C">
            <wp:simplePos x="0" y="0"/>
            <wp:positionH relativeFrom="margin">
              <wp:align>left</wp:align>
            </wp:positionH>
            <wp:positionV relativeFrom="paragraph">
              <wp:posOffset>10795</wp:posOffset>
            </wp:positionV>
            <wp:extent cx="1123950" cy="542925"/>
            <wp:effectExtent l="0" t="0" r="0" b="9525"/>
            <wp:wrapThrough wrapText="bothSides">
              <wp:wrapPolygon edited="0">
                <wp:start x="0" y="0"/>
                <wp:lineTo x="0" y="21221"/>
                <wp:lineTo x="21234" y="21221"/>
                <wp:lineTo x="21234" y="0"/>
                <wp:lineTo x="0" y="0"/>
              </wp:wrapPolygon>
            </wp:wrapThrough>
            <wp:docPr id="8" name="Picture 8" descr="2011_CBR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1_CBRE_Logo_Gre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542925"/>
                    </a:xfrm>
                    <a:prstGeom prst="rect">
                      <a:avLst/>
                    </a:prstGeom>
                    <a:noFill/>
                    <a:ln w="9525">
                      <a:noFill/>
                      <a:miter lim="800000"/>
                      <a:headEnd/>
                      <a:tailEnd/>
                    </a:ln>
                  </pic:spPr>
                </pic:pic>
              </a:graphicData>
            </a:graphic>
          </wp:anchor>
        </w:drawing>
      </w:r>
    </w:p>
    <w:p w14:paraId="4E5D2C95" w14:textId="77777777" w:rsidR="00710C2A" w:rsidRPr="005D218F" w:rsidRDefault="00710C2A" w:rsidP="00864EA6">
      <w:pPr>
        <w:outlineLvl w:val="0"/>
        <w:rPr>
          <w:rFonts w:ascii="Arial" w:hAnsi="Arial" w:cs="Arial"/>
          <w:b/>
          <w:bCs/>
          <w:color w:val="000000"/>
          <w:sz w:val="18"/>
          <w:szCs w:val="18"/>
          <w:lang w:val="sk-SK"/>
        </w:rPr>
      </w:pPr>
    </w:p>
    <w:p w14:paraId="678441F1" w14:textId="77777777" w:rsidR="00F37956" w:rsidRPr="00F37956" w:rsidRDefault="00F37956" w:rsidP="00F37956">
      <w:pPr>
        <w:rPr>
          <w:rFonts w:ascii="Arial" w:hAnsi="Arial" w:cs="Arial"/>
          <w:sz w:val="18"/>
          <w:szCs w:val="18"/>
          <w:lang w:val="sk-SK"/>
        </w:rPr>
      </w:pPr>
    </w:p>
    <w:sectPr w:rsidR="00F37956" w:rsidRPr="00F37956" w:rsidSect="00117638">
      <w:pgSz w:w="11906" w:h="16838" w:code="9"/>
      <w:pgMar w:top="719"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186A8" w14:textId="77777777" w:rsidR="00357673" w:rsidRDefault="00357673" w:rsidP="00690695">
      <w:r>
        <w:separator/>
      </w:r>
    </w:p>
  </w:endnote>
  <w:endnote w:type="continuationSeparator" w:id="0">
    <w:p w14:paraId="432E4146" w14:textId="77777777" w:rsidR="00357673" w:rsidRDefault="00357673" w:rsidP="0069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2AD4" w14:textId="77777777" w:rsidR="00357673" w:rsidRDefault="00357673" w:rsidP="00690695">
      <w:r>
        <w:separator/>
      </w:r>
    </w:p>
  </w:footnote>
  <w:footnote w:type="continuationSeparator" w:id="0">
    <w:p w14:paraId="70905755" w14:textId="77777777" w:rsidR="00357673" w:rsidRDefault="00357673" w:rsidP="00690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76BB1"/>
    <w:multiLevelType w:val="hybridMultilevel"/>
    <w:tmpl w:val="DD20A8C0"/>
    <w:lvl w:ilvl="0" w:tplc="A24EF634">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69BE790F"/>
    <w:multiLevelType w:val="hybridMultilevel"/>
    <w:tmpl w:val="06B22470"/>
    <w:lvl w:ilvl="0" w:tplc="83A4889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A8"/>
    <w:rsid w:val="00000002"/>
    <w:rsid w:val="00002752"/>
    <w:rsid w:val="00005F56"/>
    <w:rsid w:val="00006E17"/>
    <w:rsid w:val="00006E5B"/>
    <w:rsid w:val="0001272D"/>
    <w:rsid w:val="00013C1B"/>
    <w:rsid w:val="00015242"/>
    <w:rsid w:val="00015574"/>
    <w:rsid w:val="00020A77"/>
    <w:rsid w:val="00022860"/>
    <w:rsid w:val="000237A1"/>
    <w:rsid w:val="00025B75"/>
    <w:rsid w:val="00026BA2"/>
    <w:rsid w:val="000319AF"/>
    <w:rsid w:val="00032318"/>
    <w:rsid w:val="00034978"/>
    <w:rsid w:val="00035C5A"/>
    <w:rsid w:val="00036EA0"/>
    <w:rsid w:val="00044E1F"/>
    <w:rsid w:val="00045731"/>
    <w:rsid w:val="00047892"/>
    <w:rsid w:val="00050D85"/>
    <w:rsid w:val="00052990"/>
    <w:rsid w:val="00057489"/>
    <w:rsid w:val="0006226E"/>
    <w:rsid w:val="00062BBE"/>
    <w:rsid w:val="000636E8"/>
    <w:rsid w:val="0006684F"/>
    <w:rsid w:val="00067AA5"/>
    <w:rsid w:val="000709A9"/>
    <w:rsid w:val="00071548"/>
    <w:rsid w:val="00072AFA"/>
    <w:rsid w:val="000759C9"/>
    <w:rsid w:val="000802DE"/>
    <w:rsid w:val="000813DC"/>
    <w:rsid w:val="0008452B"/>
    <w:rsid w:val="00084F59"/>
    <w:rsid w:val="000870CC"/>
    <w:rsid w:val="000902C2"/>
    <w:rsid w:val="000919F1"/>
    <w:rsid w:val="000924BA"/>
    <w:rsid w:val="000940C0"/>
    <w:rsid w:val="000963F4"/>
    <w:rsid w:val="00096504"/>
    <w:rsid w:val="00097D9B"/>
    <w:rsid w:val="000A23D9"/>
    <w:rsid w:val="000A3769"/>
    <w:rsid w:val="000A613F"/>
    <w:rsid w:val="000B45ED"/>
    <w:rsid w:val="000C2FC8"/>
    <w:rsid w:val="000E3223"/>
    <w:rsid w:val="000E3576"/>
    <w:rsid w:val="000E6DDE"/>
    <w:rsid w:val="000F1700"/>
    <w:rsid w:val="000F2F7D"/>
    <w:rsid w:val="000F37DC"/>
    <w:rsid w:val="000F5FBB"/>
    <w:rsid w:val="000F7280"/>
    <w:rsid w:val="000F7D45"/>
    <w:rsid w:val="00100FF0"/>
    <w:rsid w:val="00103B32"/>
    <w:rsid w:val="0010799D"/>
    <w:rsid w:val="001146A0"/>
    <w:rsid w:val="001148D3"/>
    <w:rsid w:val="00117638"/>
    <w:rsid w:val="00121D27"/>
    <w:rsid w:val="00124A7E"/>
    <w:rsid w:val="00130A9B"/>
    <w:rsid w:val="00132B02"/>
    <w:rsid w:val="001368E2"/>
    <w:rsid w:val="00136EFA"/>
    <w:rsid w:val="00137EC0"/>
    <w:rsid w:val="00140D00"/>
    <w:rsid w:val="00141B85"/>
    <w:rsid w:val="0014212E"/>
    <w:rsid w:val="00143A8E"/>
    <w:rsid w:val="00145B44"/>
    <w:rsid w:val="00150F93"/>
    <w:rsid w:val="001539E6"/>
    <w:rsid w:val="0016062E"/>
    <w:rsid w:val="00160F2A"/>
    <w:rsid w:val="00160FAA"/>
    <w:rsid w:val="00163524"/>
    <w:rsid w:val="0016483F"/>
    <w:rsid w:val="00164A6A"/>
    <w:rsid w:val="00164EBA"/>
    <w:rsid w:val="00170BD7"/>
    <w:rsid w:val="001750B1"/>
    <w:rsid w:val="00176959"/>
    <w:rsid w:val="00180A66"/>
    <w:rsid w:val="001864D7"/>
    <w:rsid w:val="0019112B"/>
    <w:rsid w:val="00192DDF"/>
    <w:rsid w:val="00194441"/>
    <w:rsid w:val="0019454D"/>
    <w:rsid w:val="00195D72"/>
    <w:rsid w:val="001A4A53"/>
    <w:rsid w:val="001A52D9"/>
    <w:rsid w:val="001A5D69"/>
    <w:rsid w:val="001A77B7"/>
    <w:rsid w:val="001B4576"/>
    <w:rsid w:val="001B5EE1"/>
    <w:rsid w:val="001C0363"/>
    <w:rsid w:val="001C3017"/>
    <w:rsid w:val="001C3271"/>
    <w:rsid w:val="001C3F62"/>
    <w:rsid w:val="001E1133"/>
    <w:rsid w:val="001E146C"/>
    <w:rsid w:val="001E3752"/>
    <w:rsid w:val="001E3F8B"/>
    <w:rsid w:val="001F19F2"/>
    <w:rsid w:val="001F1E24"/>
    <w:rsid w:val="001F1EF6"/>
    <w:rsid w:val="001F2C85"/>
    <w:rsid w:val="001F465E"/>
    <w:rsid w:val="00200133"/>
    <w:rsid w:val="002072DC"/>
    <w:rsid w:val="002102E0"/>
    <w:rsid w:val="00210E53"/>
    <w:rsid w:val="00213907"/>
    <w:rsid w:val="00214AF3"/>
    <w:rsid w:val="00217518"/>
    <w:rsid w:val="00220615"/>
    <w:rsid w:val="00224736"/>
    <w:rsid w:val="0022736C"/>
    <w:rsid w:val="00230F16"/>
    <w:rsid w:val="002369CA"/>
    <w:rsid w:val="002408E6"/>
    <w:rsid w:val="002544A6"/>
    <w:rsid w:val="002645AC"/>
    <w:rsid w:val="002657F5"/>
    <w:rsid w:val="00267880"/>
    <w:rsid w:val="0027232A"/>
    <w:rsid w:val="00273EBA"/>
    <w:rsid w:val="0027577D"/>
    <w:rsid w:val="002770AE"/>
    <w:rsid w:val="002777C8"/>
    <w:rsid w:val="00282392"/>
    <w:rsid w:val="00283B90"/>
    <w:rsid w:val="0028684C"/>
    <w:rsid w:val="00290A76"/>
    <w:rsid w:val="0029215C"/>
    <w:rsid w:val="0029228E"/>
    <w:rsid w:val="00292428"/>
    <w:rsid w:val="002A1C5F"/>
    <w:rsid w:val="002A2D11"/>
    <w:rsid w:val="002A350B"/>
    <w:rsid w:val="002A39F0"/>
    <w:rsid w:val="002A4C88"/>
    <w:rsid w:val="002A65B6"/>
    <w:rsid w:val="002A79DB"/>
    <w:rsid w:val="002B1B76"/>
    <w:rsid w:val="002B28FB"/>
    <w:rsid w:val="002B2A77"/>
    <w:rsid w:val="002B2D8D"/>
    <w:rsid w:val="002B48C5"/>
    <w:rsid w:val="002B76E5"/>
    <w:rsid w:val="002C5E3D"/>
    <w:rsid w:val="002C6658"/>
    <w:rsid w:val="002C6983"/>
    <w:rsid w:val="002D04D7"/>
    <w:rsid w:val="002D0D86"/>
    <w:rsid w:val="002D17F8"/>
    <w:rsid w:val="002D3789"/>
    <w:rsid w:val="002D608D"/>
    <w:rsid w:val="002D7156"/>
    <w:rsid w:val="002E2D26"/>
    <w:rsid w:val="002E60BE"/>
    <w:rsid w:val="002E7914"/>
    <w:rsid w:val="002E7A1A"/>
    <w:rsid w:val="002F0243"/>
    <w:rsid w:val="002F383C"/>
    <w:rsid w:val="003059E1"/>
    <w:rsid w:val="0031162E"/>
    <w:rsid w:val="0031565B"/>
    <w:rsid w:val="00317136"/>
    <w:rsid w:val="0031757D"/>
    <w:rsid w:val="0032079A"/>
    <w:rsid w:val="00324256"/>
    <w:rsid w:val="0032641F"/>
    <w:rsid w:val="00330118"/>
    <w:rsid w:val="00334ACE"/>
    <w:rsid w:val="0033599D"/>
    <w:rsid w:val="003374AB"/>
    <w:rsid w:val="003401B5"/>
    <w:rsid w:val="003446CD"/>
    <w:rsid w:val="00346BAF"/>
    <w:rsid w:val="00347F4C"/>
    <w:rsid w:val="00351DC4"/>
    <w:rsid w:val="00351E5A"/>
    <w:rsid w:val="00352E13"/>
    <w:rsid w:val="00357673"/>
    <w:rsid w:val="0036059A"/>
    <w:rsid w:val="0037381B"/>
    <w:rsid w:val="0037662E"/>
    <w:rsid w:val="00383177"/>
    <w:rsid w:val="00384E56"/>
    <w:rsid w:val="003908F2"/>
    <w:rsid w:val="00395C26"/>
    <w:rsid w:val="003A096D"/>
    <w:rsid w:val="003A1BD0"/>
    <w:rsid w:val="003A3A64"/>
    <w:rsid w:val="003A5749"/>
    <w:rsid w:val="003A7575"/>
    <w:rsid w:val="003B4A0B"/>
    <w:rsid w:val="003C1DF4"/>
    <w:rsid w:val="003C3EA9"/>
    <w:rsid w:val="003C3FEE"/>
    <w:rsid w:val="003C565E"/>
    <w:rsid w:val="003C7155"/>
    <w:rsid w:val="003D4F5A"/>
    <w:rsid w:val="003D52E2"/>
    <w:rsid w:val="003D52FE"/>
    <w:rsid w:val="003D5808"/>
    <w:rsid w:val="003E1D7F"/>
    <w:rsid w:val="003E32AF"/>
    <w:rsid w:val="003E48E4"/>
    <w:rsid w:val="003E603F"/>
    <w:rsid w:val="003F24FC"/>
    <w:rsid w:val="00400415"/>
    <w:rsid w:val="00401A78"/>
    <w:rsid w:val="00402668"/>
    <w:rsid w:val="00404673"/>
    <w:rsid w:val="00407FBC"/>
    <w:rsid w:val="0041056A"/>
    <w:rsid w:val="0041486D"/>
    <w:rsid w:val="00414BB7"/>
    <w:rsid w:val="00414C8F"/>
    <w:rsid w:val="00416C16"/>
    <w:rsid w:val="004172F2"/>
    <w:rsid w:val="00417EA5"/>
    <w:rsid w:val="00420ED1"/>
    <w:rsid w:val="00421911"/>
    <w:rsid w:val="004230A5"/>
    <w:rsid w:val="00425000"/>
    <w:rsid w:val="0042729F"/>
    <w:rsid w:val="004314C7"/>
    <w:rsid w:val="00435E55"/>
    <w:rsid w:val="00436B7E"/>
    <w:rsid w:val="004472D6"/>
    <w:rsid w:val="004540D0"/>
    <w:rsid w:val="004638F7"/>
    <w:rsid w:val="00463E3A"/>
    <w:rsid w:val="0046639E"/>
    <w:rsid w:val="0047438F"/>
    <w:rsid w:val="0048021A"/>
    <w:rsid w:val="00482D0E"/>
    <w:rsid w:val="00482E8F"/>
    <w:rsid w:val="00485647"/>
    <w:rsid w:val="004864EF"/>
    <w:rsid w:val="0049338B"/>
    <w:rsid w:val="0049411B"/>
    <w:rsid w:val="00494D41"/>
    <w:rsid w:val="00494E3D"/>
    <w:rsid w:val="004B3EAD"/>
    <w:rsid w:val="004B6CE1"/>
    <w:rsid w:val="004C3A5C"/>
    <w:rsid w:val="004C532B"/>
    <w:rsid w:val="004D0FF6"/>
    <w:rsid w:val="004D1E32"/>
    <w:rsid w:val="004E01F3"/>
    <w:rsid w:val="004E6D5E"/>
    <w:rsid w:val="004E7ABF"/>
    <w:rsid w:val="004F1BE6"/>
    <w:rsid w:val="004F3C05"/>
    <w:rsid w:val="00505CBB"/>
    <w:rsid w:val="00506CBE"/>
    <w:rsid w:val="005103A5"/>
    <w:rsid w:val="00513284"/>
    <w:rsid w:val="00513C03"/>
    <w:rsid w:val="00516966"/>
    <w:rsid w:val="00517676"/>
    <w:rsid w:val="00517F5D"/>
    <w:rsid w:val="00527545"/>
    <w:rsid w:val="00530937"/>
    <w:rsid w:val="00533DF1"/>
    <w:rsid w:val="00535AE6"/>
    <w:rsid w:val="00536AD5"/>
    <w:rsid w:val="005419C7"/>
    <w:rsid w:val="00542390"/>
    <w:rsid w:val="00542920"/>
    <w:rsid w:val="00543BB1"/>
    <w:rsid w:val="00546D82"/>
    <w:rsid w:val="00547CC1"/>
    <w:rsid w:val="00547EC9"/>
    <w:rsid w:val="00550256"/>
    <w:rsid w:val="00553000"/>
    <w:rsid w:val="00557758"/>
    <w:rsid w:val="00560711"/>
    <w:rsid w:val="005611E9"/>
    <w:rsid w:val="00563540"/>
    <w:rsid w:val="005706D6"/>
    <w:rsid w:val="00574CAA"/>
    <w:rsid w:val="00574D2F"/>
    <w:rsid w:val="00580488"/>
    <w:rsid w:val="00586D6F"/>
    <w:rsid w:val="005879F9"/>
    <w:rsid w:val="00587B80"/>
    <w:rsid w:val="00594670"/>
    <w:rsid w:val="0059765D"/>
    <w:rsid w:val="005978B1"/>
    <w:rsid w:val="005A4CD0"/>
    <w:rsid w:val="005A5903"/>
    <w:rsid w:val="005A5DA8"/>
    <w:rsid w:val="005B3352"/>
    <w:rsid w:val="005B6B37"/>
    <w:rsid w:val="005C0A6C"/>
    <w:rsid w:val="005C37C2"/>
    <w:rsid w:val="005C4BDF"/>
    <w:rsid w:val="005C7931"/>
    <w:rsid w:val="005D218F"/>
    <w:rsid w:val="005D48BA"/>
    <w:rsid w:val="005D666E"/>
    <w:rsid w:val="005E01EA"/>
    <w:rsid w:val="005E2868"/>
    <w:rsid w:val="005E7279"/>
    <w:rsid w:val="005E79F0"/>
    <w:rsid w:val="005F075A"/>
    <w:rsid w:val="005F1390"/>
    <w:rsid w:val="005F2AF9"/>
    <w:rsid w:val="005F5799"/>
    <w:rsid w:val="005F6FF9"/>
    <w:rsid w:val="00603504"/>
    <w:rsid w:val="0060426E"/>
    <w:rsid w:val="006043F7"/>
    <w:rsid w:val="0060530A"/>
    <w:rsid w:val="00605C75"/>
    <w:rsid w:val="006115B5"/>
    <w:rsid w:val="00615C4B"/>
    <w:rsid w:val="006211BF"/>
    <w:rsid w:val="00621F8D"/>
    <w:rsid w:val="0062363C"/>
    <w:rsid w:val="00623899"/>
    <w:rsid w:val="00624429"/>
    <w:rsid w:val="00624604"/>
    <w:rsid w:val="006316C7"/>
    <w:rsid w:val="00636482"/>
    <w:rsid w:val="0064035F"/>
    <w:rsid w:val="006427D1"/>
    <w:rsid w:val="006442BE"/>
    <w:rsid w:val="00651476"/>
    <w:rsid w:val="00651C71"/>
    <w:rsid w:val="00654949"/>
    <w:rsid w:val="00655098"/>
    <w:rsid w:val="006557E4"/>
    <w:rsid w:val="0065627E"/>
    <w:rsid w:val="00656B9E"/>
    <w:rsid w:val="00657EF6"/>
    <w:rsid w:val="00661955"/>
    <w:rsid w:val="00664832"/>
    <w:rsid w:val="006669CB"/>
    <w:rsid w:val="006703D7"/>
    <w:rsid w:val="006825F1"/>
    <w:rsid w:val="00682BC6"/>
    <w:rsid w:val="006859FF"/>
    <w:rsid w:val="00685A9D"/>
    <w:rsid w:val="00685FA7"/>
    <w:rsid w:val="00686864"/>
    <w:rsid w:val="00690695"/>
    <w:rsid w:val="00694468"/>
    <w:rsid w:val="0069774D"/>
    <w:rsid w:val="006A44AA"/>
    <w:rsid w:val="006A7FDC"/>
    <w:rsid w:val="006B2A40"/>
    <w:rsid w:val="006B33B8"/>
    <w:rsid w:val="006B5859"/>
    <w:rsid w:val="006B6853"/>
    <w:rsid w:val="006D2A46"/>
    <w:rsid w:val="006D48B3"/>
    <w:rsid w:val="006D53FC"/>
    <w:rsid w:val="006D5515"/>
    <w:rsid w:val="006E4BAD"/>
    <w:rsid w:val="006E52CE"/>
    <w:rsid w:val="006F2AE1"/>
    <w:rsid w:val="006F682C"/>
    <w:rsid w:val="006F6F57"/>
    <w:rsid w:val="006F75E1"/>
    <w:rsid w:val="00710C2A"/>
    <w:rsid w:val="0071345B"/>
    <w:rsid w:val="00714A11"/>
    <w:rsid w:val="0071577C"/>
    <w:rsid w:val="007163C8"/>
    <w:rsid w:val="00721598"/>
    <w:rsid w:val="00724E07"/>
    <w:rsid w:val="00727123"/>
    <w:rsid w:val="007334CF"/>
    <w:rsid w:val="00734E6E"/>
    <w:rsid w:val="00735EDC"/>
    <w:rsid w:val="00736401"/>
    <w:rsid w:val="007374FD"/>
    <w:rsid w:val="007405D5"/>
    <w:rsid w:val="00746935"/>
    <w:rsid w:val="00747B3E"/>
    <w:rsid w:val="00750C24"/>
    <w:rsid w:val="007527E0"/>
    <w:rsid w:val="00753CAE"/>
    <w:rsid w:val="0076065C"/>
    <w:rsid w:val="0076175B"/>
    <w:rsid w:val="00761FA7"/>
    <w:rsid w:val="00763D85"/>
    <w:rsid w:val="00765FE3"/>
    <w:rsid w:val="00766BB7"/>
    <w:rsid w:val="00766C0F"/>
    <w:rsid w:val="007676FE"/>
    <w:rsid w:val="00772210"/>
    <w:rsid w:val="007733FB"/>
    <w:rsid w:val="007759F6"/>
    <w:rsid w:val="00776A7B"/>
    <w:rsid w:val="00776FDD"/>
    <w:rsid w:val="00777C98"/>
    <w:rsid w:val="00780F13"/>
    <w:rsid w:val="007843B0"/>
    <w:rsid w:val="00786266"/>
    <w:rsid w:val="007877F9"/>
    <w:rsid w:val="00790312"/>
    <w:rsid w:val="0079035F"/>
    <w:rsid w:val="00790D61"/>
    <w:rsid w:val="0079241C"/>
    <w:rsid w:val="00793BCA"/>
    <w:rsid w:val="0079691C"/>
    <w:rsid w:val="0079721B"/>
    <w:rsid w:val="007A089E"/>
    <w:rsid w:val="007A26B2"/>
    <w:rsid w:val="007A721A"/>
    <w:rsid w:val="007A7F87"/>
    <w:rsid w:val="007B4A88"/>
    <w:rsid w:val="007B534F"/>
    <w:rsid w:val="007B65BE"/>
    <w:rsid w:val="007B739F"/>
    <w:rsid w:val="007B7693"/>
    <w:rsid w:val="007C0953"/>
    <w:rsid w:val="007C31CA"/>
    <w:rsid w:val="007C3D22"/>
    <w:rsid w:val="007D26C2"/>
    <w:rsid w:val="007E020E"/>
    <w:rsid w:val="007E1301"/>
    <w:rsid w:val="007E795C"/>
    <w:rsid w:val="007F02E1"/>
    <w:rsid w:val="007F2474"/>
    <w:rsid w:val="007F2C71"/>
    <w:rsid w:val="007F77A5"/>
    <w:rsid w:val="00802541"/>
    <w:rsid w:val="00803DAF"/>
    <w:rsid w:val="00804156"/>
    <w:rsid w:val="00805960"/>
    <w:rsid w:val="00811F86"/>
    <w:rsid w:val="008125AC"/>
    <w:rsid w:val="00814105"/>
    <w:rsid w:val="00814E4B"/>
    <w:rsid w:val="00821C2F"/>
    <w:rsid w:val="008221A0"/>
    <w:rsid w:val="008226F3"/>
    <w:rsid w:val="00826A0F"/>
    <w:rsid w:val="00831AF5"/>
    <w:rsid w:val="00831C60"/>
    <w:rsid w:val="00833936"/>
    <w:rsid w:val="0083393A"/>
    <w:rsid w:val="00833C95"/>
    <w:rsid w:val="008422DA"/>
    <w:rsid w:val="0084398B"/>
    <w:rsid w:val="00844C78"/>
    <w:rsid w:val="00851225"/>
    <w:rsid w:val="00852F55"/>
    <w:rsid w:val="00856467"/>
    <w:rsid w:val="0085693A"/>
    <w:rsid w:val="008634B1"/>
    <w:rsid w:val="008638F0"/>
    <w:rsid w:val="00864EA6"/>
    <w:rsid w:val="008650FD"/>
    <w:rsid w:val="008758AB"/>
    <w:rsid w:val="00876B19"/>
    <w:rsid w:val="00882F94"/>
    <w:rsid w:val="00882FFB"/>
    <w:rsid w:val="00884CD0"/>
    <w:rsid w:val="00886A5A"/>
    <w:rsid w:val="00886DFB"/>
    <w:rsid w:val="00892DCE"/>
    <w:rsid w:val="00895A08"/>
    <w:rsid w:val="00895AFB"/>
    <w:rsid w:val="008976FF"/>
    <w:rsid w:val="008979F0"/>
    <w:rsid w:val="008A44EB"/>
    <w:rsid w:val="008A58C5"/>
    <w:rsid w:val="008A5999"/>
    <w:rsid w:val="008B25C2"/>
    <w:rsid w:val="008B2FE3"/>
    <w:rsid w:val="008B5061"/>
    <w:rsid w:val="008C336B"/>
    <w:rsid w:val="008C3C4D"/>
    <w:rsid w:val="008C3D18"/>
    <w:rsid w:val="008D3D33"/>
    <w:rsid w:val="008D5D4A"/>
    <w:rsid w:val="008D66E7"/>
    <w:rsid w:val="008D7190"/>
    <w:rsid w:val="008E1270"/>
    <w:rsid w:val="008E2918"/>
    <w:rsid w:val="008E308C"/>
    <w:rsid w:val="008E37C0"/>
    <w:rsid w:val="008E4AD9"/>
    <w:rsid w:val="008E729B"/>
    <w:rsid w:val="008F257B"/>
    <w:rsid w:val="008F71BD"/>
    <w:rsid w:val="008F728E"/>
    <w:rsid w:val="008F7747"/>
    <w:rsid w:val="0090340A"/>
    <w:rsid w:val="00907D4E"/>
    <w:rsid w:val="00911736"/>
    <w:rsid w:val="009123CE"/>
    <w:rsid w:val="00917B2D"/>
    <w:rsid w:val="0092217D"/>
    <w:rsid w:val="009261B7"/>
    <w:rsid w:val="00931C15"/>
    <w:rsid w:val="0093268A"/>
    <w:rsid w:val="009326CB"/>
    <w:rsid w:val="00932FCD"/>
    <w:rsid w:val="00935405"/>
    <w:rsid w:val="00936BA1"/>
    <w:rsid w:val="00937CC1"/>
    <w:rsid w:val="00943476"/>
    <w:rsid w:val="00950E0C"/>
    <w:rsid w:val="00962DD6"/>
    <w:rsid w:val="0096739B"/>
    <w:rsid w:val="00967618"/>
    <w:rsid w:val="00972AD8"/>
    <w:rsid w:val="00975532"/>
    <w:rsid w:val="009758C7"/>
    <w:rsid w:val="0097663A"/>
    <w:rsid w:val="0098019C"/>
    <w:rsid w:val="009804F2"/>
    <w:rsid w:val="009812C0"/>
    <w:rsid w:val="009813D6"/>
    <w:rsid w:val="00991706"/>
    <w:rsid w:val="00992EE9"/>
    <w:rsid w:val="009939AE"/>
    <w:rsid w:val="00993E89"/>
    <w:rsid w:val="009A048A"/>
    <w:rsid w:val="009A1200"/>
    <w:rsid w:val="009A31C9"/>
    <w:rsid w:val="009A33A1"/>
    <w:rsid w:val="009A447E"/>
    <w:rsid w:val="009A688D"/>
    <w:rsid w:val="009A7B22"/>
    <w:rsid w:val="009B0F55"/>
    <w:rsid w:val="009B4D9A"/>
    <w:rsid w:val="009B757D"/>
    <w:rsid w:val="009C6BD2"/>
    <w:rsid w:val="009C7131"/>
    <w:rsid w:val="009C71AA"/>
    <w:rsid w:val="009D0479"/>
    <w:rsid w:val="009D107E"/>
    <w:rsid w:val="009D18FD"/>
    <w:rsid w:val="009D1BD0"/>
    <w:rsid w:val="009D1FF7"/>
    <w:rsid w:val="009E3CF8"/>
    <w:rsid w:val="009E4A15"/>
    <w:rsid w:val="009E4E3F"/>
    <w:rsid w:val="009E6CAE"/>
    <w:rsid w:val="009E6E8B"/>
    <w:rsid w:val="009E755B"/>
    <w:rsid w:val="009F010D"/>
    <w:rsid w:val="009F3D46"/>
    <w:rsid w:val="009F555D"/>
    <w:rsid w:val="00A04F38"/>
    <w:rsid w:val="00A0699C"/>
    <w:rsid w:val="00A06C39"/>
    <w:rsid w:val="00A07A0C"/>
    <w:rsid w:val="00A07B78"/>
    <w:rsid w:val="00A11A0F"/>
    <w:rsid w:val="00A161F2"/>
    <w:rsid w:val="00A20D66"/>
    <w:rsid w:val="00A21AAB"/>
    <w:rsid w:val="00A344E0"/>
    <w:rsid w:val="00A3697A"/>
    <w:rsid w:val="00A37E02"/>
    <w:rsid w:val="00A40D29"/>
    <w:rsid w:val="00A43051"/>
    <w:rsid w:val="00A476BF"/>
    <w:rsid w:val="00A476F7"/>
    <w:rsid w:val="00A52A50"/>
    <w:rsid w:val="00A52B4B"/>
    <w:rsid w:val="00A54F6A"/>
    <w:rsid w:val="00A570C8"/>
    <w:rsid w:val="00A575C7"/>
    <w:rsid w:val="00A60349"/>
    <w:rsid w:val="00A60C96"/>
    <w:rsid w:val="00A620C2"/>
    <w:rsid w:val="00A62A34"/>
    <w:rsid w:val="00A62D8A"/>
    <w:rsid w:val="00A63195"/>
    <w:rsid w:val="00A631ED"/>
    <w:rsid w:val="00A637DC"/>
    <w:rsid w:val="00A6516A"/>
    <w:rsid w:val="00A67BE5"/>
    <w:rsid w:val="00A745DD"/>
    <w:rsid w:val="00A751EF"/>
    <w:rsid w:val="00A76BE6"/>
    <w:rsid w:val="00A76D22"/>
    <w:rsid w:val="00A8353F"/>
    <w:rsid w:val="00A84C36"/>
    <w:rsid w:val="00A853CF"/>
    <w:rsid w:val="00A900CC"/>
    <w:rsid w:val="00A9187C"/>
    <w:rsid w:val="00AA22CE"/>
    <w:rsid w:val="00AA54DC"/>
    <w:rsid w:val="00AB2D5E"/>
    <w:rsid w:val="00AC2105"/>
    <w:rsid w:val="00AD0E0B"/>
    <w:rsid w:val="00AD7907"/>
    <w:rsid w:val="00AD7EA9"/>
    <w:rsid w:val="00AE0097"/>
    <w:rsid w:val="00AE059F"/>
    <w:rsid w:val="00AE2437"/>
    <w:rsid w:val="00AE78EC"/>
    <w:rsid w:val="00AF0084"/>
    <w:rsid w:val="00AF41C9"/>
    <w:rsid w:val="00AF5BED"/>
    <w:rsid w:val="00AF78CA"/>
    <w:rsid w:val="00B12890"/>
    <w:rsid w:val="00B20527"/>
    <w:rsid w:val="00B2623E"/>
    <w:rsid w:val="00B42858"/>
    <w:rsid w:val="00B44C59"/>
    <w:rsid w:val="00B46280"/>
    <w:rsid w:val="00B50F21"/>
    <w:rsid w:val="00B51E91"/>
    <w:rsid w:val="00B530F3"/>
    <w:rsid w:val="00B532CD"/>
    <w:rsid w:val="00B54016"/>
    <w:rsid w:val="00B57A33"/>
    <w:rsid w:val="00B607A3"/>
    <w:rsid w:val="00B60907"/>
    <w:rsid w:val="00B72996"/>
    <w:rsid w:val="00B760D9"/>
    <w:rsid w:val="00B8105C"/>
    <w:rsid w:val="00B81311"/>
    <w:rsid w:val="00B8307D"/>
    <w:rsid w:val="00B841AB"/>
    <w:rsid w:val="00B97E95"/>
    <w:rsid w:val="00BA5097"/>
    <w:rsid w:val="00BA5569"/>
    <w:rsid w:val="00BB0B8A"/>
    <w:rsid w:val="00BB0E42"/>
    <w:rsid w:val="00BB53CE"/>
    <w:rsid w:val="00BB7472"/>
    <w:rsid w:val="00BB7976"/>
    <w:rsid w:val="00BC1DB1"/>
    <w:rsid w:val="00BD19E7"/>
    <w:rsid w:val="00BD4F4A"/>
    <w:rsid w:val="00BD797D"/>
    <w:rsid w:val="00BE17CD"/>
    <w:rsid w:val="00BE4EDA"/>
    <w:rsid w:val="00BE7052"/>
    <w:rsid w:val="00BF2265"/>
    <w:rsid w:val="00BF2B31"/>
    <w:rsid w:val="00BF48BF"/>
    <w:rsid w:val="00BF5261"/>
    <w:rsid w:val="00C02482"/>
    <w:rsid w:val="00C03703"/>
    <w:rsid w:val="00C04846"/>
    <w:rsid w:val="00C06860"/>
    <w:rsid w:val="00C11530"/>
    <w:rsid w:val="00C11B1F"/>
    <w:rsid w:val="00C140A1"/>
    <w:rsid w:val="00C14A0F"/>
    <w:rsid w:val="00C15157"/>
    <w:rsid w:val="00C21FB9"/>
    <w:rsid w:val="00C30A6A"/>
    <w:rsid w:val="00C33590"/>
    <w:rsid w:val="00C3460D"/>
    <w:rsid w:val="00C41BB4"/>
    <w:rsid w:val="00C41C48"/>
    <w:rsid w:val="00C41CA7"/>
    <w:rsid w:val="00C443A3"/>
    <w:rsid w:val="00C47332"/>
    <w:rsid w:val="00C50227"/>
    <w:rsid w:val="00C50D73"/>
    <w:rsid w:val="00C52269"/>
    <w:rsid w:val="00C5229C"/>
    <w:rsid w:val="00C543B1"/>
    <w:rsid w:val="00C5549A"/>
    <w:rsid w:val="00C55A6B"/>
    <w:rsid w:val="00C63A6A"/>
    <w:rsid w:val="00C6630E"/>
    <w:rsid w:val="00C66FD3"/>
    <w:rsid w:val="00C749CD"/>
    <w:rsid w:val="00C74BFE"/>
    <w:rsid w:val="00C75FE0"/>
    <w:rsid w:val="00C760D6"/>
    <w:rsid w:val="00C86115"/>
    <w:rsid w:val="00C86FA6"/>
    <w:rsid w:val="00C924EB"/>
    <w:rsid w:val="00C96880"/>
    <w:rsid w:val="00C97394"/>
    <w:rsid w:val="00CA0B92"/>
    <w:rsid w:val="00CA18A9"/>
    <w:rsid w:val="00CA2961"/>
    <w:rsid w:val="00CA2BBE"/>
    <w:rsid w:val="00CA595B"/>
    <w:rsid w:val="00CB01A6"/>
    <w:rsid w:val="00CB0568"/>
    <w:rsid w:val="00CB2590"/>
    <w:rsid w:val="00CB446C"/>
    <w:rsid w:val="00CB55C2"/>
    <w:rsid w:val="00CB6236"/>
    <w:rsid w:val="00CB7291"/>
    <w:rsid w:val="00CC00E1"/>
    <w:rsid w:val="00CC78CF"/>
    <w:rsid w:val="00CD2F32"/>
    <w:rsid w:val="00CD4A03"/>
    <w:rsid w:val="00CD5463"/>
    <w:rsid w:val="00CD60B2"/>
    <w:rsid w:val="00CD76BE"/>
    <w:rsid w:val="00CE0B0A"/>
    <w:rsid w:val="00CE2F72"/>
    <w:rsid w:val="00CF0E4C"/>
    <w:rsid w:val="00CF4F01"/>
    <w:rsid w:val="00CF6135"/>
    <w:rsid w:val="00D006BA"/>
    <w:rsid w:val="00D01C65"/>
    <w:rsid w:val="00D06872"/>
    <w:rsid w:val="00D10926"/>
    <w:rsid w:val="00D14884"/>
    <w:rsid w:val="00D163C4"/>
    <w:rsid w:val="00D2293D"/>
    <w:rsid w:val="00D22CEF"/>
    <w:rsid w:val="00D23324"/>
    <w:rsid w:val="00D23AA8"/>
    <w:rsid w:val="00D26EB7"/>
    <w:rsid w:val="00D32446"/>
    <w:rsid w:val="00D32513"/>
    <w:rsid w:val="00D33C26"/>
    <w:rsid w:val="00D33CFE"/>
    <w:rsid w:val="00D345BF"/>
    <w:rsid w:val="00D35B18"/>
    <w:rsid w:val="00D463DE"/>
    <w:rsid w:val="00D464A8"/>
    <w:rsid w:val="00D508B7"/>
    <w:rsid w:val="00D56475"/>
    <w:rsid w:val="00D56B78"/>
    <w:rsid w:val="00D56FFE"/>
    <w:rsid w:val="00D57237"/>
    <w:rsid w:val="00D608D3"/>
    <w:rsid w:val="00D60E2B"/>
    <w:rsid w:val="00D63D9F"/>
    <w:rsid w:val="00D64EA6"/>
    <w:rsid w:val="00D671C4"/>
    <w:rsid w:val="00D674F3"/>
    <w:rsid w:val="00D71D96"/>
    <w:rsid w:val="00D77843"/>
    <w:rsid w:val="00D839CE"/>
    <w:rsid w:val="00D8453F"/>
    <w:rsid w:val="00D91545"/>
    <w:rsid w:val="00D93BCD"/>
    <w:rsid w:val="00D95BA1"/>
    <w:rsid w:val="00D95FB3"/>
    <w:rsid w:val="00DA16A0"/>
    <w:rsid w:val="00DA707E"/>
    <w:rsid w:val="00DB04B1"/>
    <w:rsid w:val="00DB3E52"/>
    <w:rsid w:val="00DB55BB"/>
    <w:rsid w:val="00DB5796"/>
    <w:rsid w:val="00DB5BB5"/>
    <w:rsid w:val="00DD056F"/>
    <w:rsid w:val="00DD2A4A"/>
    <w:rsid w:val="00DE0B0A"/>
    <w:rsid w:val="00DE0DBA"/>
    <w:rsid w:val="00DE1480"/>
    <w:rsid w:val="00DE6732"/>
    <w:rsid w:val="00DE72AE"/>
    <w:rsid w:val="00DF45CA"/>
    <w:rsid w:val="00E00551"/>
    <w:rsid w:val="00E014C1"/>
    <w:rsid w:val="00E04A3F"/>
    <w:rsid w:val="00E0511F"/>
    <w:rsid w:val="00E05F28"/>
    <w:rsid w:val="00E1125C"/>
    <w:rsid w:val="00E1293B"/>
    <w:rsid w:val="00E154D4"/>
    <w:rsid w:val="00E16BAA"/>
    <w:rsid w:val="00E17856"/>
    <w:rsid w:val="00E17F4A"/>
    <w:rsid w:val="00E20DC9"/>
    <w:rsid w:val="00E24F05"/>
    <w:rsid w:val="00E2795D"/>
    <w:rsid w:val="00E31393"/>
    <w:rsid w:val="00E3212E"/>
    <w:rsid w:val="00E34728"/>
    <w:rsid w:val="00E4187F"/>
    <w:rsid w:val="00E4273C"/>
    <w:rsid w:val="00E44A85"/>
    <w:rsid w:val="00E44F22"/>
    <w:rsid w:val="00E47F79"/>
    <w:rsid w:val="00E50A08"/>
    <w:rsid w:val="00E51D24"/>
    <w:rsid w:val="00E537B6"/>
    <w:rsid w:val="00E557C4"/>
    <w:rsid w:val="00E5587F"/>
    <w:rsid w:val="00E55F3B"/>
    <w:rsid w:val="00E5687D"/>
    <w:rsid w:val="00E57263"/>
    <w:rsid w:val="00E57BD5"/>
    <w:rsid w:val="00E62D5E"/>
    <w:rsid w:val="00E63A0B"/>
    <w:rsid w:val="00E64621"/>
    <w:rsid w:val="00E665F0"/>
    <w:rsid w:val="00E67564"/>
    <w:rsid w:val="00E82214"/>
    <w:rsid w:val="00E8466A"/>
    <w:rsid w:val="00E86711"/>
    <w:rsid w:val="00E915B9"/>
    <w:rsid w:val="00E92454"/>
    <w:rsid w:val="00EA0A99"/>
    <w:rsid w:val="00EA178F"/>
    <w:rsid w:val="00EA2331"/>
    <w:rsid w:val="00EA5FAE"/>
    <w:rsid w:val="00EB12AB"/>
    <w:rsid w:val="00EB1305"/>
    <w:rsid w:val="00EB1525"/>
    <w:rsid w:val="00EB2E88"/>
    <w:rsid w:val="00EC48A4"/>
    <w:rsid w:val="00EC7282"/>
    <w:rsid w:val="00ED0CD9"/>
    <w:rsid w:val="00ED40C1"/>
    <w:rsid w:val="00ED63F2"/>
    <w:rsid w:val="00ED677F"/>
    <w:rsid w:val="00ED67B0"/>
    <w:rsid w:val="00ED7545"/>
    <w:rsid w:val="00EE0974"/>
    <w:rsid w:val="00EE12EF"/>
    <w:rsid w:val="00EE14AB"/>
    <w:rsid w:val="00EE17EF"/>
    <w:rsid w:val="00EE2A8D"/>
    <w:rsid w:val="00EE2D16"/>
    <w:rsid w:val="00EE4F82"/>
    <w:rsid w:val="00EE7CD7"/>
    <w:rsid w:val="00EF79A8"/>
    <w:rsid w:val="00F12436"/>
    <w:rsid w:val="00F1246B"/>
    <w:rsid w:val="00F12E13"/>
    <w:rsid w:val="00F20BC9"/>
    <w:rsid w:val="00F230CB"/>
    <w:rsid w:val="00F23D1D"/>
    <w:rsid w:val="00F270D0"/>
    <w:rsid w:val="00F3083E"/>
    <w:rsid w:val="00F30F2B"/>
    <w:rsid w:val="00F35D30"/>
    <w:rsid w:val="00F37956"/>
    <w:rsid w:val="00F40A24"/>
    <w:rsid w:val="00F43165"/>
    <w:rsid w:val="00F51EEF"/>
    <w:rsid w:val="00F51FDF"/>
    <w:rsid w:val="00F520DB"/>
    <w:rsid w:val="00F5221C"/>
    <w:rsid w:val="00F544DE"/>
    <w:rsid w:val="00F55FBC"/>
    <w:rsid w:val="00F568A9"/>
    <w:rsid w:val="00F63E88"/>
    <w:rsid w:val="00F70174"/>
    <w:rsid w:val="00F7305F"/>
    <w:rsid w:val="00F803CC"/>
    <w:rsid w:val="00F8100E"/>
    <w:rsid w:val="00F824E2"/>
    <w:rsid w:val="00F82A25"/>
    <w:rsid w:val="00F8311B"/>
    <w:rsid w:val="00F90230"/>
    <w:rsid w:val="00F913BA"/>
    <w:rsid w:val="00F94FAF"/>
    <w:rsid w:val="00F964C9"/>
    <w:rsid w:val="00FA2810"/>
    <w:rsid w:val="00FA712D"/>
    <w:rsid w:val="00FB0187"/>
    <w:rsid w:val="00FB07CC"/>
    <w:rsid w:val="00FB0BA7"/>
    <w:rsid w:val="00FB2B23"/>
    <w:rsid w:val="00FB3A49"/>
    <w:rsid w:val="00FB51E9"/>
    <w:rsid w:val="00FB6E0E"/>
    <w:rsid w:val="00FC1182"/>
    <w:rsid w:val="00FC229F"/>
    <w:rsid w:val="00FC3D77"/>
    <w:rsid w:val="00FD0096"/>
    <w:rsid w:val="00FD15ED"/>
    <w:rsid w:val="00FD248B"/>
    <w:rsid w:val="00FD698C"/>
    <w:rsid w:val="00FD6A9A"/>
    <w:rsid w:val="00FD7C11"/>
    <w:rsid w:val="00FD7C95"/>
    <w:rsid w:val="00FE2738"/>
    <w:rsid w:val="00FE7E3D"/>
    <w:rsid w:val="00FF46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538E7"/>
  <w15:docId w15:val="{9C8A6F83-45A5-43ED-925E-484CB85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3FB"/>
    <w:rPr>
      <w:rFonts w:eastAsia="Times New Roman"/>
      <w:lang w:eastAsia="en-US"/>
    </w:rPr>
  </w:style>
  <w:style w:type="paragraph" w:styleId="Heading1">
    <w:name w:val="heading 1"/>
    <w:basedOn w:val="Normal"/>
    <w:next w:val="Normal"/>
    <w:qFormat/>
    <w:rsid w:val="00710C2A"/>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6246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33FB"/>
    <w:pPr>
      <w:tabs>
        <w:tab w:val="center" w:pos="4153"/>
        <w:tab w:val="right" w:pos="8306"/>
      </w:tabs>
    </w:pPr>
  </w:style>
  <w:style w:type="table" w:styleId="TableGrid">
    <w:name w:val="Table Grid"/>
    <w:basedOn w:val="TableNormal"/>
    <w:rsid w:val="007733FB"/>
    <w:rPr>
      <w:rFonts w:eastAsia="Times New Roman"/>
      <w:lang w:val="cs-CZ"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577C"/>
    <w:rPr>
      <w:rFonts w:ascii="Tahoma" w:hAnsi="Tahoma" w:cs="Tahoma"/>
      <w:sz w:val="16"/>
      <w:szCs w:val="16"/>
    </w:rPr>
  </w:style>
  <w:style w:type="character" w:styleId="CommentReference">
    <w:name w:val="annotation reference"/>
    <w:semiHidden/>
    <w:rsid w:val="0071577C"/>
    <w:rPr>
      <w:sz w:val="16"/>
      <w:szCs w:val="16"/>
    </w:rPr>
  </w:style>
  <w:style w:type="paragraph" w:styleId="CommentText">
    <w:name w:val="annotation text"/>
    <w:basedOn w:val="Normal"/>
    <w:semiHidden/>
    <w:rsid w:val="0071577C"/>
  </w:style>
  <w:style w:type="paragraph" w:styleId="CommentSubject">
    <w:name w:val="annotation subject"/>
    <w:basedOn w:val="CommentText"/>
    <w:next w:val="CommentText"/>
    <w:semiHidden/>
    <w:rsid w:val="0071577C"/>
    <w:rPr>
      <w:b/>
      <w:bCs/>
    </w:rPr>
  </w:style>
  <w:style w:type="character" w:customStyle="1" w:styleId="hps">
    <w:name w:val="hps"/>
    <w:basedOn w:val="DefaultParagraphFont"/>
    <w:rsid w:val="008F257B"/>
  </w:style>
  <w:style w:type="character" w:customStyle="1" w:styleId="atn">
    <w:name w:val="atn"/>
    <w:basedOn w:val="DefaultParagraphFont"/>
    <w:rsid w:val="008F257B"/>
  </w:style>
  <w:style w:type="character" w:customStyle="1" w:styleId="gt-icon-text1">
    <w:name w:val="gt-icon-text1"/>
    <w:basedOn w:val="DefaultParagraphFont"/>
    <w:rsid w:val="008F257B"/>
  </w:style>
  <w:style w:type="paragraph" w:styleId="Title">
    <w:name w:val="Title"/>
    <w:basedOn w:val="Normal"/>
    <w:next w:val="Normal"/>
    <w:link w:val="TitleChar"/>
    <w:qFormat/>
    <w:rsid w:val="001A5D69"/>
    <w:pPr>
      <w:spacing w:before="240" w:after="60"/>
      <w:jc w:val="center"/>
      <w:outlineLvl w:val="0"/>
    </w:pPr>
    <w:rPr>
      <w:rFonts w:ascii="Cambria" w:hAnsi="Cambria"/>
      <w:b/>
      <w:bCs/>
      <w:kern w:val="28"/>
      <w:sz w:val="32"/>
      <w:szCs w:val="32"/>
    </w:rPr>
  </w:style>
  <w:style w:type="character" w:customStyle="1" w:styleId="TitleChar">
    <w:name w:val="Title Char"/>
    <w:link w:val="Title"/>
    <w:rsid w:val="001A5D69"/>
    <w:rPr>
      <w:rFonts w:ascii="Cambria" w:eastAsia="Times New Roman" w:hAnsi="Cambria" w:cs="Times New Roman"/>
      <w:b/>
      <w:bCs/>
      <w:kern w:val="28"/>
      <w:sz w:val="32"/>
      <w:szCs w:val="32"/>
      <w:lang w:val="en-GB" w:eastAsia="en-US"/>
    </w:rPr>
  </w:style>
  <w:style w:type="character" w:styleId="Emphasis">
    <w:name w:val="Emphasis"/>
    <w:basedOn w:val="DefaultParagraphFont"/>
    <w:qFormat/>
    <w:rsid w:val="00B54016"/>
    <w:rPr>
      <w:i/>
      <w:iCs/>
    </w:rPr>
  </w:style>
  <w:style w:type="paragraph" w:styleId="Footer">
    <w:name w:val="footer"/>
    <w:basedOn w:val="Normal"/>
    <w:link w:val="FooterChar"/>
    <w:semiHidden/>
    <w:unhideWhenUsed/>
    <w:rsid w:val="00690695"/>
    <w:pPr>
      <w:tabs>
        <w:tab w:val="center" w:pos="4536"/>
        <w:tab w:val="right" w:pos="9072"/>
      </w:tabs>
    </w:pPr>
  </w:style>
  <w:style w:type="character" w:customStyle="1" w:styleId="FooterChar">
    <w:name w:val="Footer Char"/>
    <w:basedOn w:val="DefaultParagraphFont"/>
    <w:link w:val="Footer"/>
    <w:semiHidden/>
    <w:rsid w:val="00690695"/>
    <w:rPr>
      <w:rFonts w:eastAsia="Times New Roman"/>
      <w:lang w:eastAsia="en-US"/>
    </w:rPr>
  </w:style>
  <w:style w:type="paragraph" w:styleId="Revision">
    <w:name w:val="Revision"/>
    <w:hidden/>
    <w:uiPriority w:val="99"/>
    <w:semiHidden/>
    <w:rsid w:val="00A3697A"/>
    <w:rPr>
      <w:rFonts w:eastAsia="Times New Roman"/>
      <w:lang w:eastAsia="en-US"/>
    </w:rPr>
  </w:style>
  <w:style w:type="character" w:customStyle="1" w:styleId="Heading2Char">
    <w:name w:val="Heading 2 Char"/>
    <w:basedOn w:val="DefaultParagraphFont"/>
    <w:link w:val="Heading2"/>
    <w:semiHidden/>
    <w:rsid w:val="00624604"/>
    <w:rPr>
      <w:rFonts w:asciiTheme="majorHAnsi" w:eastAsiaTheme="majorEastAsia" w:hAnsiTheme="majorHAnsi" w:cstheme="majorBidi"/>
      <w:color w:val="365F91" w:themeColor="accent1" w:themeShade="BF"/>
      <w:sz w:val="26"/>
      <w:szCs w:val="26"/>
      <w:lang w:eastAsia="en-US"/>
    </w:rPr>
  </w:style>
  <w:style w:type="character" w:customStyle="1" w:styleId="jlqj4b">
    <w:name w:val="jlqj4b"/>
    <w:basedOn w:val="DefaultParagraphFont"/>
    <w:rsid w:val="00624604"/>
  </w:style>
  <w:style w:type="table" w:styleId="PlainTable1">
    <w:name w:val="Plain Table 1"/>
    <w:basedOn w:val="TableNormal"/>
    <w:uiPriority w:val="41"/>
    <w:rsid w:val="002102E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2102E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02E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780">
      <w:bodyDiv w:val="1"/>
      <w:marLeft w:val="0"/>
      <w:marRight w:val="0"/>
      <w:marTop w:val="0"/>
      <w:marBottom w:val="0"/>
      <w:divBdr>
        <w:top w:val="none" w:sz="0" w:space="0" w:color="auto"/>
        <w:left w:val="none" w:sz="0" w:space="0" w:color="auto"/>
        <w:bottom w:val="none" w:sz="0" w:space="0" w:color="auto"/>
        <w:right w:val="none" w:sz="0" w:space="0" w:color="auto"/>
      </w:divBdr>
    </w:div>
    <w:div w:id="99187731">
      <w:bodyDiv w:val="1"/>
      <w:marLeft w:val="0"/>
      <w:marRight w:val="0"/>
      <w:marTop w:val="0"/>
      <w:marBottom w:val="0"/>
      <w:divBdr>
        <w:top w:val="none" w:sz="0" w:space="0" w:color="auto"/>
        <w:left w:val="none" w:sz="0" w:space="0" w:color="auto"/>
        <w:bottom w:val="none" w:sz="0" w:space="0" w:color="auto"/>
        <w:right w:val="none" w:sz="0" w:space="0" w:color="auto"/>
      </w:divBdr>
    </w:div>
    <w:div w:id="174654104">
      <w:bodyDiv w:val="1"/>
      <w:marLeft w:val="0"/>
      <w:marRight w:val="0"/>
      <w:marTop w:val="0"/>
      <w:marBottom w:val="0"/>
      <w:divBdr>
        <w:top w:val="none" w:sz="0" w:space="0" w:color="auto"/>
        <w:left w:val="none" w:sz="0" w:space="0" w:color="auto"/>
        <w:bottom w:val="none" w:sz="0" w:space="0" w:color="auto"/>
        <w:right w:val="none" w:sz="0" w:space="0" w:color="auto"/>
      </w:divBdr>
    </w:div>
    <w:div w:id="175922571">
      <w:bodyDiv w:val="1"/>
      <w:marLeft w:val="0"/>
      <w:marRight w:val="0"/>
      <w:marTop w:val="0"/>
      <w:marBottom w:val="0"/>
      <w:divBdr>
        <w:top w:val="none" w:sz="0" w:space="0" w:color="auto"/>
        <w:left w:val="none" w:sz="0" w:space="0" w:color="auto"/>
        <w:bottom w:val="none" w:sz="0" w:space="0" w:color="auto"/>
        <w:right w:val="none" w:sz="0" w:space="0" w:color="auto"/>
      </w:divBdr>
    </w:div>
    <w:div w:id="288634478">
      <w:bodyDiv w:val="1"/>
      <w:marLeft w:val="0"/>
      <w:marRight w:val="0"/>
      <w:marTop w:val="0"/>
      <w:marBottom w:val="0"/>
      <w:divBdr>
        <w:top w:val="none" w:sz="0" w:space="0" w:color="auto"/>
        <w:left w:val="none" w:sz="0" w:space="0" w:color="auto"/>
        <w:bottom w:val="none" w:sz="0" w:space="0" w:color="auto"/>
        <w:right w:val="none" w:sz="0" w:space="0" w:color="auto"/>
      </w:divBdr>
    </w:div>
    <w:div w:id="291441234">
      <w:bodyDiv w:val="1"/>
      <w:marLeft w:val="0"/>
      <w:marRight w:val="0"/>
      <w:marTop w:val="0"/>
      <w:marBottom w:val="0"/>
      <w:divBdr>
        <w:top w:val="none" w:sz="0" w:space="0" w:color="auto"/>
        <w:left w:val="none" w:sz="0" w:space="0" w:color="auto"/>
        <w:bottom w:val="none" w:sz="0" w:space="0" w:color="auto"/>
        <w:right w:val="none" w:sz="0" w:space="0" w:color="auto"/>
      </w:divBdr>
    </w:div>
    <w:div w:id="320432642">
      <w:bodyDiv w:val="1"/>
      <w:marLeft w:val="0"/>
      <w:marRight w:val="0"/>
      <w:marTop w:val="0"/>
      <w:marBottom w:val="0"/>
      <w:divBdr>
        <w:top w:val="none" w:sz="0" w:space="0" w:color="auto"/>
        <w:left w:val="none" w:sz="0" w:space="0" w:color="auto"/>
        <w:bottom w:val="none" w:sz="0" w:space="0" w:color="auto"/>
        <w:right w:val="none" w:sz="0" w:space="0" w:color="auto"/>
      </w:divBdr>
      <w:divsChild>
        <w:div w:id="1315910990">
          <w:marLeft w:val="0"/>
          <w:marRight w:val="0"/>
          <w:marTop w:val="0"/>
          <w:marBottom w:val="0"/>
          <w:divBdr>
            <w:top w:val="none" w:sz="0" w:space="0" w:color="auto"/>
            <w:left w:val="none" w:sz="0" w:space="0" w:color="auto"/>
            <w:bottom w:val="none" w:sz="0" w:space="0" w:color="auto"/>
            <w:right w:val="none" w:sz="0" w:space="0" w:color="auto"/>
          </w:divBdr>
          <w:divsChild>
            <w:div w:id="1599363661">
              <w:marLeft w:val="0"/>
              <w:marRight w:val="0"/>
              <w:marTop w:val="0"/>
              <w:marBottom w:val="0"/>
              <w:divBdr>
                <w:top w:val="none" w:sz="0" w:space="0" w:color="auto"/>
                <w:left w:val="none" w:sz="0" w:space="0" w:color="auto"/>
                <w:bottom w:val="none" w:sz="0" w:space="0" w:color="auto"/>
                <w:right w:val="none" w:sz="0" w:space="0" w:color="auto"/>
              </w:divBdr>
              <w:divsChild>
                <w:div w:id="1793749773">
                  <w:marLeft w:val="0"/>
                  <w:marRight w:val="0"/>
                  <w:marTop w:val="0"/>
                  <w:marBottom w:val="0"/>
                  <w:divBdr>
                    <w:top w:val="none" w:sz="0" w:space="0" w:color="auto"/>
                    <w:left w:val="none" w:sz="0" w:space="0" w:color="auto"/>
                    <w:bottom w:val="none" w:sz="0" w:space="0" w:color="auto"/>
                    <w:right w:val="none" w:sz="0" w:space="0" w:color="auto"/>
                  </w:divBdr>
                  <w:divsChild>
                    <w:div w:id="1739934938">
                      <w:marLeft w:val="0"/>
                      <w:marRight w:val="0"/>
                      <w:marTop w:val="0"/>
                      <w:marBottom w:val="0"/>
                      <w:divBdr>
                        <w:top w:val="none" w:sz="0" w:space="0" w:color="auto"/>
                        <w:left w:val="none" w:sz="0" w:space="0" w:color="auto"/>
                        <w:bottom w:val="none" w:sz="0" w:space="0" w:color="auto"/>
                        <w:right w:val="none" w:sz="0" w:space="0" w:color="auto"/>
                      </w:divBdr>
                      <w:divsChild>
                        <w:div w:id="1984119061">
                          <w:marLeft w:val="0"/>
                          <w:marRight w:val="0"/>
                          <w:marTop w:val="0"/>
                          <w:marBottom w:val="0"/>
                          <w:divBdr>
                            <w:top w:val="none" w:sz="0" w:space="0" w:color="auto"/>
                            <w:left w:val="none" w:sz="0" w:space="0" w:color="auto"/>
                            <w:bottom w:val="none" w:sz="0" w:space="0" w:color="auto"/>
                            <w:right w:val="none" w:sz="0" w:space="0" w:color="auto"/>
                          </w:divBdr>
                          <w:divsChild>
                            <w:div w:id="1301618073">
                              <w:marLeft w:val="0"/>
                              <w:marRight w:val="0"/>
                              <w:marTop w:val="240"/>
                              <w:marBottom w:val="0"/>
                              <w:divBdr>
                                <w:top w:val="none" w:sz="0" w:space="0" w:color="auto"/>
                                <w:left w:val="none" w:sz="0" w:space="0" w:color="auto"/>
                                <w:bottom w:val="none" w:sz="0" w:space="0" w:color="auto"/>
                                <w:right w:val="none" w:sz="0" w:space="0" w:color="auto"/>
                              </w:divBdr>
                              <w:divsChild>
                                <w:div w:id="1019966073">
                                  <w:marLeft w:val="0"/>
                                  <w:marRight w:val="240"/>
                                  <w:marTop w:val="0"/>
                                  <w:marBottom w:val="0"/>
                                  <w:divBdr>
                                    <w:top w:val="none" w:sz="0" w:space="0" w:color="auto"/>
                                    <w:left w:val="none" w:sz="0" w:space="0" w:color="auto"/>
                                    <w:bottom w:val="none" w:sz="0" w:space="0" w:color="auto"/>
                                    <w:right w:val="none" w:sz="0" w:space="0" w:color="auto"/>
                                  </w:divBdr>
                                </w:div>
                                <w:div w:id="1146513871">
                                  <w:marLeft w:val="0"/>
                                  <w:marRight w:val="240"/>
                                  <w:marTop w:val="0"/>
                                  <w:marBottom w:val="0"/>
                                  <w:divBdr>
                                    <w:top w:val="none" w:sz="0" w:space="0" w:color="auto"/>
                                    <w:left w:val="none" w:sz="0" w:space="0" w:color="auto"/>
                                    <w:bottom w:val="none" w:sz="0" w:space="0" w:color="auto"/>
                                    <w:right w:val="none" w:sz="0" w:space="0" w:color="auto"/>
                                  </w:divBdr>
                                </w:div>
                              </w:divsChild>
                            </w:div>
                            <w:div w:id="1333751590">
                              <w:marLeft w:val="0"/>
                              <w:marRight w:val="0"/>
                              <w:marTop w:val="0"/>
                              <w:marBottom w:val="0"/>
                              <w:divBdr>
                                <w:top w:val="none" w:sz="0" w:space="0" w:color="auto"/>
                                <w:left w:val="none" w:sz="0" w:space="0" w:color="auto"/>
                                <w:bottom w:val="none" w:sz="0" w:space="0" w:color="auto"/>
                                <w:right w:val="none" w:sz="0" w:space="0" w:color="auto"/>
                              </w:divBdr>
                              <w:divsChild>
                                <w:div w:id="10764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359795">
      <w:bodyDiv w:val="1"/>
      <w:marLeft w:val="0"/>
      <w:marRight w:val="0"/>
      <w:marTop w:val="0"/>
      <w:marBottom w:val="0"/>
      <w:divBdr>
        <w:top w:val="none" w:sz="0" w:space="0" w:color="auto"/>
        <w:left w:val="none" w:sz="0" w:space="0" w:color="auto"/>
        <w:bottom w:val="none" w:sz="0" w:space="0" w:color="auto"/>
        <w:right w:val="none" w:sz="0" w:space="0" w:color="auto"/>
      </w:divBdr>
    </w:div>
    <w:div w:id="455148619">
      <w:bodyDiv w:val="1"/>
      <w:marLeft w:val="0"/>
      <w:marRight w:val="0"/>
      <w:marTop w:val="0"/>
      <w:marBottom w:val="0"/>
      <w:divBdr>
        <w:top w:val="none" w:sz="0" w:space="0" w:color="auto"/>
        <w:left w:val="none" w:sz="0" w:space="0" w:color="auto"/>
        <w:bottom w:val="none" w:sz="0" w:space="0" w:color="auto"/>
        <w:right w:val="none" w:sz="0" w:space="0" w:color="auto"/>
      </w:divBdr>
    </w:div>
    <w:div w:id="535510318">
      <w:bodyDiv w:val="1"/>
      <w:marLeft w:val="0"/>
      <w:marRight w:val="0"/>
      <w:marTop w:val="0"/>
      <w:marBottom w:val="0"/>
      <w:divBdr>
        <w:top w:val="none" w:sz="0" w:space="0" w:color="auto"/>
        <w:left w:val="none" w:sz="0" w:space="0" w:color="auto"/>
        <w:bottom w:val="none" w:sz="0" w:space="0" w:color="auto"/>
        <w:right w:val="none" w:sz="0" w:space="0" w:color="auto"/>
      </w:divBdr>
      <w:divsChild>
        <w:div w:id="1206455023">
          <w:marLeft w:val="0"/>
          <w:marRight w:val="0"/>
          <w:marTop w:val="100"/>
          <w:marBottom w:val="0"/>
          <w:divBdr>
            <w:top w:val="none" w:sz="0" w:space="0" w:color="auto"/>
            <w:left w:val="none" w:sz="0" w:space="0" w:color="auto"/>
            <w:bottom w:val="none" w:sz="0" w:space="0" w:color="auto"/>
            <w:right w:val="none" w:sz="0" w:space="0" w:color="auto"/>
          </w:divBdr>
          <w:divsChild>
            <w:div w:id="992756079">
              <w:marLeft w:val="0"/>
              <w:marRight w:val="0"/>
              <w:marTop w:val="60"/>
              <w:marBottom w:val="0"/>
              <w:divBdr>
                <w:top w:val="none" w:sz="0" w:space="0" w:color="auto"/>
                <w:left w:val="none" w:sz="0" w:space="0" w:color="auto"/>
                <w:bottom w:val="none" w:sz="0" w:space="0" w:color="auto"/>
                <w:right w:val="none" w:sz="0" w:space="0" w:color="auto"/>
              </w:divBdr>
            </w:div>
          </w:divsChild>
        </w:div>
        <w:div w:id="469398774">
          <w:marLeft w:val="0"/>
          <w:marRight w:val="0"/>
          <w:marTop w:val="0"/>
          <w:marBottom w:val="0"/>
          <w:divBdr>
            <w:top w:val="none" w:sz="0" w:space="0" w:color="auto"/>
            <w:left w:val="none" w:sz="0" w:space="0" w:color="auto"/>
            <w:bottom w:val="none" w:sz="0" w:space="0" w:color="auto"/>
            <w:right w:val="none" w:sz="0" w:space="0" w:color="auto"/>
          </w:divBdr>
          <w:divsChild>
            <w:div w:id="493643097">
              <w:marLeft w:val="0"/>
              <w:marRight w:val="0"/>
              <w:marTop w:val="0"/>
              <w:marBottom w:val="0"/>
              <w:divBdr>
                <w:top w:val="none" w:sz="0" w:space="0" w:color="auto"/>
                <w:left w:val="none" w:sz="0" w:space="0" w:color="auto"/>
                <w:bottom w:val="none" w:sz="0" w:space="0" w:color="auto"/>
                <w:right w:val="none" w:sz="0" w:space="0" w:color="auto"/>
              </w:divBdr>
              <w:divsChild>
                <w:div w:id="20729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0828">
      <w:bodyDiv w:val="1"/>
      <w:marLeft w:val="0"/>
      <w:marRight w:val="0"/>
      <w:marTop w:val="0"/>
      <w:marBottom w:val="0"/>
      <w:divBdr>
        <w:top w:val="none" w:sz="0" w:space="0" w:color="auto"/>
        <w:left w:val="none" w:sz="0" w:space="0" w:color="auto"/>
        <w:bottom w:val="none" w:sz="0" w:space="0" w:color="auto"/>
        <w:right w:val="none" w:sz="0" w:space="0" w:color="auto"/>
      </w:divBdr>
    </w:div>
    <w:div w:id="957874501">
      <w:bodyDiv w:val="1"/>
      <w:marLeft w:val="0"/>
      <w:marRight w:val="0"/>
      <w:marTop w:val="0"/>
      <w:marBottom w:val="0"/>
      <w:divBdr>
        <w:top w:val="none" w:sz="0" w:space="0" w:color="auto"/>
        <w:left w:val="none" w:sz="0" w:space="0" w:color="auto"/>
        <w:bottom w:val="none" w:sz="0" w:space="0" w:color="auto"/>
        <w:right w:val="none" w:sz="0" w:space="0" w:color="auto"/>
      </w:divBdr>
    </w:div>
    <w:div w:id="958343947">
      <w:bodyDiv w:val="1"/>
      <w:marLeft w:val="0"/>
      <w:marRight w:val="0"/>
      <w:marTop w:val="0"/>
      <w:marBottom w:val="0"/>
      <w:divBdr>
        <w:top w:val="none" w:sz="0" w:space="0" w:color="auto"/>
        <w:left w:val="none" w:sz="0" w:space="0" w:color="auto"/>
        <w:bottom w:val="none" w:sz="0" w:space="0" w:color="auto"/>
        <w:right w:val="none" w:sz="0" w:space="0" w:color="auto"/>
      </w:divBdr>
    </w:div>
    <w:div w:id="1024288470">
      <w:bodyDiv w:val="1"/>
      <w:marLeft w:val="0"/>
      <w:marRight w:val="0"/>
      <w:marTop w:val="0"/>
      <w:marBottom w:val="0"/>
      <w:divBdr>
        <w:top w:val="none" w:sz="0" w:space="0" w:color="auto"/>
        <w:left w:val="none" w:sz="0" w:space="0" w:color="auto"/>
        <w:bottom w:val="none" w:sz="0" w:space="0" w:color="auto"/>
        <w:right w:val="none" w:sz="0" w:space="0" w:color="auto"/>
      </w:divBdr>
    </w:div>
    <w:div w:id="1059942368">
      <w:bodyDiv w:val="1"/>
      <w:marLeft w:val="0"/>
      <w:marRight w:val="0"/>
      <w:marTop w:val="0"/>
      <w:marBottom w:val="0"/>
      <w:divBdr>
        <w:top w:val="none" w:sz="0" w:space="0" w:color="auto"/>
        <w:left w:val="none" w:sz="0" w:space="0" w:color="auto"/>
        <w:bottom w:val="none" w:sz="0" w:space="0" w:color="auto"/>
        <w:right w:val="none" w:sz="0" w:space="0" w:color="auto"/>
      </w:divBdr>
    </w:div>
    <w:div w:id="1246571378">
      <w:bodyDiv w:val="1"/>
      <w:marLeft w:val="0"/>
      <w:marRight w:val="0"/>
      <w:marTop w:val="0"/>
      <w:marBottom w:val="0"/>
      <w:divBdr>
        <w:top w:val="none" w:sz="0" w:space="0" w:color="auto"/>
        <w:left w:val="none" w:sz="0" w:space="0" w:color="auto"/>
        <w:bottom w:val="none" w:sz="0" w:space="0" w:color="auto"/>
        <w:right w:val="none" w:sz="0" w:space="0" w:color="auto"/>
      </w:divBdr>
    </w:div>
    <w:div w:id="1259871403">
      <w:bodyDiv w:val="1"/>
      <w:marLeft w:val="0"/>
      <w:marRight w:val="0"/>
      <w:marTop w:val="0"/>
      <w:marBottom w:val="0"/>
      <w:divBdr>
        <w:top w:val="none" w:sz="0" w:space="0" w:color="auto"/>
        <w:left w:val="none" w:sz="0" w:space="0" w:color="auto"/>
        <w:bottom w:val="none" w:sz="0" w:space="0" w:color="auto"/>
        <w:right w:val="none" w:sz="0" w:space="0" w:color="auto"/>
      </w:divBdr>
    </w:div>
    <w:div w:id="1352025921">
      <w:bodyDiv w:val="1"/>
      <w:marLeft w:val="0"/>
      <w:marRight w:val="0"/>
      <w:marTop w:val="0"/>
      <w:marBottom w:val="0"/>
      <w:divBdr>
        <w:top w:val="none" w:sz="0" w:space="0" w:color="auto"/>
        <w:left w:val="none" w:sz="0" w:space="0" w:color="auto"/>
        <w:bottom w:val="none" w:sz="0" w:space="0" w:color="auto"/>
        <w:right w:val="none" w:sz="0" w:space="0" w:color="auto"/>
      </w:divBdr>
    </w:div>
    <w:div w:id="1439524265">
      <w:bodyDiv w:val="1"/>
      <w:marLeft w:val="0"/>
      <w:marRight w:val="0"/>
      <w:marTop w:val="0"/>
      <w:marBottom w:val="0"/>
      <w:divBdr>
        <w:top w:val="none" w:sz="0" w:space="0" w:color="auto"/>
        <w:left w:val="none" w:sz="0" w:space="0" w:color="auto"/>
        <w:bottom w:val="none" w:sz="0" w:space="0" w:color="auto"/>
        <w:right w:val="none" w:sz="0" w:space="0" w:color="auto"/>
      </w:divBdr>
    </w:div>
    <w:div w:id="1645547243">
      <w:bodyDiv w:val="1"/>
      <w:marLeft w:val="0"/>
      <w:marRight w:val="0"/>
      <w:marTop w:val="0"/>
      <w:marBottom w:val="0"/>
      <w:divBdr>
        <w:top w:val="none" w:sz="0" w:space="0" w:color="auto"/>
        <w:left w:val="none" w:sz="0" w:space="0" w:color="auto"/>
        <w:bottom w:val="none" w:sz="0" w:space="0" w:color="auto"/>
        <w:right w:val="none" w:sz="0" w:space="0" w:color="auto"/>
      </w:divBdr>
    </w:div>
    <w:div w:id="1758095950">
      <w:bodyDiv w:val="1"/>
      <w:marLeft w:val="0"/>
      <w:marRight w:val="0"/>
      <w:marTop w:val="0"/>
      <w:marBottom w:val="0"/>
      <w:divBdr>
        <w:top w:val="none" w:sz="0" w:space="0" w:color="auto"/>
        <w:left w:val="none" w:sz="0" w:space="0" w:color="auto"/>
        <w:bottom w:val="none" w:sz="0" w:space="0" w:color="auto"/>
        <w:right w:val="none" w:sz="0" w:space="0" w:color="auto"/>
      </w:divBdr>
    </w:div>
    <w:div w:id="1862741999">
      <w:bodyDiv w:val="1"/>
      <w:marLeft w:val="0"/>
      <w:marRight w:val="0"/>
      <w:marTop w:val="0"/>
      <w:marBottom w:val="0"/>
      <w:divBdr>
        <w:top w:val="none" w:sz="0" w:space="0" w:color="auto"/>
        <w:left w:val="none" w:sz="0" w:space="0" w:color="auto"/>
        <w:bottom w:val="none" w:sz="0" w:space="0" w:color="auto"/>
        <w:right w:val="none" w:sz="0" w:space="0" w:color="auto"/>
      </w:divBdr>
    </w:div>
    <w:div w:id="1926835868">
      <w:bodyDiv w:val="1"/>
      <w:marLeft w:val="0"/>
      <w:marRight w:val="0"/>
      <w:marTop w:val="0"/>
      <w:marBottom w:val="0"/>
      <w:divBdr>
        <w:top w:val="none" w:sz="0" w:space="0" w:color="auto"/>
        <w:left w:val="none" w:sz="0" w:space="0" w:color="auto"/>
        <w:bottom w:val="none" w:sz="0" w:space="0" w:color="auto"/>
        <w:right w:val="none" w:sz="0" w:space="0" w:color="auto"/>
      </w:divBdr>
    </w:div>
    <w:div w:id="1972707516">
      <w:bodyDiv w:val="1"/>
      <w:marLeft w:val="0"/>
      <w:marRight w:val="0"/>
      <w:marTop w:val="0"/>
      <w:marBottom w:val="0"/>
      <w:divBdr>
        <w:top w:val="none" w:sz="0" w:space="0" w:color="auto"/>
        <w:left w:val="none" w:sz="0" w:space="0" w:color="auto"/>
        <w:bottom w:val="none" w:sz="0" w:space="0" w:color="auto"/>
        <w:right w:val="none" w:sz="0" w:space="0" w:color="auto"/>
      </w:divBdr>
    </w:div>
    <w:div w:id="1999262698">
      <w:bodyDiv w:val="1"/>
      <w:marLeft w:val="0"/>
      <w:marRight w:val="0"/>
      <w:marTop w:val="0"/>
      <w:marBottom w:val="0"/>
      <w:divBdr>
        <w:top w:val="none" w:sz="0" w:space="0" w:color="auto"/>
        <w:left w:val="none" w:sz="0" w:space="0" w:color="auto"/>
        <w:bottom w:val="none" w:sz="0" w:space="0" w:color="auto"/>
        <w:right w:val="none" w:sz="0" w:space="0" w:color="auto"/>
      </w:divBdr>
    </w:div>
    <w:div w:id="2007173534">
      <w:bodyDiv w:val="1"/>
      <w:marLeft w:val="0"/>
      <w:marRight w:val="0"/>
      <w:marTop w:val="0"/>
      <w:marBottom w:val="0"/>
      <w:divBdr>
        <w:top w:val="none" w:sz="0" w:space="0" w:color="auto"/>
        <w:left w:val="none" w:sz="0" w:space="0" w:color="auto"/>
        <w:bottom w:val="none" w:sz="0" w:space="0" w:color="auto"/>
        <w:right w:val="none" w:sz="0" w:space="0" w:color="auto"/>
      </w:divBdr>
    </w:div>
    <w:div w:id="2018269234">
      <w:bodyDiv w:val="1"/>
      <w:marLeft w:val="0"/>
      <w:marRight w:val="0"/>
      <w:marTop w:val="0"/>
      <w:marBottom w:val="0"/>
      <w:divBdr>
        <w:top w:val="none" w:sz="0" w:space="0" w:color="auto"/>
        <w:left w:val="none" w:sz="0" w:space="0" w:color="auto"/>
        <w:bottom w:val="none" w:sz="0" w:space="0" w:color="auto"/>
        <w:right w:val="none" w:sz="0" w:space="0" w:color="auto"/>
      </w:divBdr>
    </w:div>
    <w:div w:id="20390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babinec\Desktop\CBRE\Spracovanie%20dat\D-base\BRF\BRF%20Q3%202021_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slovak\Desktop\BRF%20Q3%202021%20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babinec\Desktop\CBRE\Spracovanie%20dat\D-base\BRF\BRF%20Q3%202021_FI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babinec\Desktop\CBRE\Spracovanie%20dat\D-base\BRF\BRF%20Q3%202021_FINAL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babinec\Desktop\CBRE\Spracovanie%20dat\D-base\BRF\BRF%20Q3%202021_FINAL.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[BRF Q3 2021_FINAL.xlsx]Grafy!PivotTable2</c:name>
    <c:fmtId val="-1"/>
  </c:pivotSource>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Celková výmera prenajímateľných plôch moderných kancelárskych priestorov podľa rozdelenia BRF</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sk-SK"/>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s>
    <c:plotArea>
      <c:layout/>
      <c:pieChart>
        <c:varyColors val="1"/>
        <c:ser>
          <c:idx val="0"/>
          <c:order val="0"/>
          <c:tx>
            <c:strRef>
              <c:f>Grafy!$K$4</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B48-4627-9E8A-DEE410CEF9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B48-4627-9E8A-DEE410CEF9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B48-4627-9E8A-DEE410CEF96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B48-4627-9E8A-DEE410CEF96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B48-4627-9E8A-DEE410CEF96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Grafy!$J$5:$J$10</c:f>
              <c:strCache>
                <c:ptCount val="5"/>
                <c:pt idx="0">
                  <c:v>CBD</c:v>
                </c:pt>
                <c:pt idx="1">
                  <c:v>CC</c:v>
                </c:pt>
                <c:pt idx="2">
                  <c:v>OC</c:v>
                </c:pt>
                <c:pt idx="3">
                  <c:v>IC</c:v>
                </c:pt>
                <c:pt idx="4">
                  <c:v>SB</c:v>
                </c:pt>
              </c:strCache>
            </c:strRef>
          </c:cat>
          <c:val>
            <c:numRef>
              <c:f>Grafy!$K$5:$K$10</c:f>
              <c:numCache>
                <c:formatCode>#,##0</c:formatCode>
                <c:ptCount val="5"/>
                <c:pt idx="0">
                  <c:v>620553</c:v>
                </c:pt>
                <c:pt idx="1">
                  <c:v>491491.06</c:v>
                </c:pt>
                <c:pt idx="2">
                  <c:v>414939</c:v>
                </c:pt>
                <c:pt idx="3">
                  <c:v>286064.33</c:v>
                </c:pt>
                <c:pt idx="4">
                  <c:v>162394</c:v>
                </c:pt>
              </c:numCache>
            </c:numRef>
          </c:val>
          <c:extLst>
            <c:ext xmlns:c16="http://schemas.microsoft.com/office/drawing/2014/chart" uri="{C3380CC4-5D6E-409C-BE32-E72D297353CC}">
              <c16:uniqueId val="{0000000A-DB48-4627-9E8A-DEE410CEF96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sk-SK"/>
    </a:p>
  </c:txPr>
  <c:externalData r:id="rId3">
    <c:autoUpdate val="0"/>
  </c:externalData>
  <c:extLst>
    <c:ext xmlns:c14="http://schemas.microsoft.com/office/drawing/2007/8/2/chart" uri="{781A3756-C4B2-4CAC-9D66-4F8BD8637D16}">
      <c14:pivotOptions>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Rozdelenie budov na z</a:t>
            </a:r>
            <a:r>
              <a:rPr lang="sk-SK" sz="1800" b="0" i="0" baseline="0">
                <a:effectLst/>
              </a:rPr>
              <a:t>áklade obsadenosti ich majiteľmi</a:t>
            </a:r>
            <a:endParaRPr lang="sk-SK">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pieChart>
        <c:varyColors val="1"/>
        <c:ser>
          <c:idx val="0"/>
          <c:order val="0"/>
          <c:tx>
            <c:strRef>
              <c:f>Grafy!$B$40</c:f>
              <c:strCache>
                <c:ptCount val="1"/>
                <c:pt idx="0">
                  <c:v>Sum of Total sqm</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B28-4C4C-B67C-056D8FB275B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B28-4C4C-B67C-056D8FB275B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B28-4C4C-B67C-056D8FB275BB}"/>
              </c:ext>
            </c:extLst>
          </c:dPt>
          <c:dLbls>
            <c:dLbl>
              <c:idx val="0"/>
              <c:layout>
                <c:manualLayout>
                  <c:x val="-5.7056543239995983E-2"/>
                  <c:y val="-0.1847540505527073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B28-4C4C-B67C-056D8FB275BB}"/>
                </c:ext>
              </c:extLst>
            </c:dLbl>
            <c:dLbl>
              <c:idx val="2"/>
              <c:layout>
                <c:manualLayout>
                  <c:x val="6.6276750511594026E-2"/>
                  <c:y val="0.1242673945081751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B28-4C4C-B67C-056D8FB275B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Grafy!$A$41:$A$43</c:f>
              <c:strCache>
                <c:ptCount val="3"/>
                <c:pt idx="0">
                  <c:v>prenajímané </c:v>
                </c:pt>
                <c:pt idx="1">
                  <c:v>štátne budovy</c:v>
                </c:pt>
                <c:pt idx="2">
                  <c:v>budova obsadená majiteľom</c:v>
                </c:pt>
              </c:strCache>
            </c:strRef>
          </c:cat>
          <c:val>
            <c:numRef>
              <c:f>Grafy!$B$41:$B$43</c:f>
              <c:numCache>
                <c:formatCode>#,##0</c:formatCode>
                <c:ptCount val="3"/>
                <c:pt idx="0">
                  <c:v>1627196.3900000001</c:v>
                </c:pt>
                <c:pt idx="1">
                  <c:v>76507</c:v>
                </c:pt>
                <c:pt idx="2">
                  <c:v>245498</c:v>
                </c:pt>
              </c:numCache>
            </c:numRef>
          </c:val>
          <c:extLst>
            <c:ext xmlns:c16="http://schemas.microsoft.com/office/drawing/2014/chart" uri="{C3380CC4-5D6E-409C-BE32-E72D297353CC}">
              <c16:uniqueId val="{00000006-3B28-4C4C-B67C-056D8FB275B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2935779391746947"/>
          <c:y val="0.2919800779398275"/>
          <c:w val="0.24450812307331365"/>
          <c:h val="0.4578308710967088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sk-SK"/>
              <a:t>Rozdelenie transakcií na základe typov (objem transakcií v m2/podiel na celkovom dopyte)</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Grafy!$K$50</c:f>
              <c:strCache>
                <c:ptCount val="1"/>
                <c:pt idx="0">
                  <c:v>veľkost transakcie v m2</c:v>
                </c:pt>
              </c:strCache>
            </c:strRef>
          </c:tx>
          <c:spPr>
            <a:solidFill>
              <a:schemeClr val="accent1"/>
            </a:solidFill>
            <a:ln>
              <a:noFill/>
            </a:ln>
            <a:effectLst/>
          </c:spPr>
          <c:invertIfNegative val="0"/>
          <c:dLbls>
            <c:dLbl>
              <c:idx val="0"/>
              <c:tx>
                <c:rich>
                  <a:bodyPr/>
                  <a:lstStyle/>
                  <a:p>
                    <a:fld id="{20D5263C-55DF-43AB-BB2C-63E885DA8BB2}" type="CELLRANGE">
                      <a:rPr lang="en-US"/>
                      <a:pPr/>
                      <a:t>[CELLRANGE]</a:t>
                    </a:fld>
                    <a:r>
                      <a:rPr lang="en-US" baseline="0"/>
                      <a:t>, </a:t>
                    </a:r>
                    <a:fld id="{7222236A-44DD-400A-8FD1-68E1C344C5E6}"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ACC3-4389-AF37-889C5549A4EF}"/>
                </c:ext>
              </c:extLst>
            </c:dLbl>
            <c:dLbl>
              <c:idx val="1"/>
              <c:tx>
                <c:rich>
                  <a:bodyPr/>
                  <a:lstStyle/>
                  <a:p>
                    <a:fld id="{897DE3C7-7FF5-4358-9E6C-FC96162A5FB9}" type="CELLRANGE">
                      <a:rPr lang="en-US"/>
                      <a:pPr/>
                      <a:t>[CELLRANGE]</a:t>
                    </a:fld>
                    <a:r>
                      <a:rPr lang="en-US" baseline="0"/>
                      <a:t>, </a:t>
                    </a:r>
                    <a:fld id="{8EB64A31-EEE2-4CE0-9685-C4800EA364FE}"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ACC3-4389-AF37-889C5549A4EF}"/>
                </c:ext>
              </c:extLst>
            </c:dLbl>
            <c:dLbl>
              <c:idx val="2"/>
              <c:tx>
                <c:rich>
                  <a:bodyPr/>
                  <a:lstStyle/>
                  <a:p>
                    <a:fld id="{8D92E891-BB47-499F-A220-A8694BB6A980}" type="CELLRANGE">
                      <a:rPr lang="sk-SK"/>
                      <a:pPr/>
                      <a:t>[CELLRANGE]</a:t>
                    </a:fld>
                    <a:r>
                      <a:rPr lang="sk-SK" baseline="0"/>
                      <a:t>; </a:t>
                    </a:r>
                    <a:fld id="{5D77DEDA-39C5-45E3-A9A1-7F758A6FC04F}" type="VALUE">
                      <a:rPr lang="sk-SK" baseline="0"/>
                      <a:pPr/>
                      <a:t>[VALUE]</a:t>
                    </a:fld>
                    <a:endParaRPr lang="sk-SK"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ACC3-4389-AF37-889C5549A4EF}"/>
                </c:ext>
              </c:extLst>
            </c:dLbl>
            <c:dLbl>
              <c:idx val="3"/>
              <c:tx>
                <c:rich>
                  <a:bodyPr/>
                  <a:lstStyle/>
                  <a:p>
                    <a:fld id="{C2DC13EB-C7FE-43CB-8E07-73E0C2922D11}" type="CELLRANGE">
                      <a:rPr lang="sk-SK"/>
                      <a:pPr/>
                      <a:t>[CELLRANGE]</a:t>
                    </a:fld>
                    <a:r>
                      <a:rPr lang="sk-SK" baseline="0"/>
                      <a:t>; </a:t>
                    </a:r>
                    <a:fld id="{453A3C42-288E-4D9E-856F-8D47A43D13DA}" type="VALUE">
                      <a:rPr lang="sk-SK" baseline="0"/>
                      <a:pPr/>
                      <a:t>[VALUE]</a:t>
                    </a:fld>
                    <a:endParaRPr lang="sk-SK"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ACC3-4389-AF37-889C5549A4E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Grafy!$J$51:$J$54</c:f>
              <c:strCache>
                <c:ptCount val="4"/>
                <c:pt idx="0">
                  <c:v>nové zmluvy</c:v>
                </c:pt>
                <c:pt idx="1">
                  <c:v>prerokovania</c:v>
                </c:pt>
                <c:pt idx="2">
                  <c:v>predprenájmy</c:v>
                </c:pt>
                <c:pt idx="3">
                  <c:v>rozšírenie nájmov</c:v>
                </c:pt>
              </c:strCache>
            </c:strRef>
          </c:cat>
          <c:val>
            <c:numRef>
              <c:f>Grafy!$K$51:$K$54</c:f>
              <c:numCache>
                <c:formatCode>#,##0</c:formatCode>
                <c:ptCount val="4"/>
                <c:pt idx="0">
                  <c:v>19655.04</c:v>
                </c:pt>
                <c:pt idx="1">
                  <c:v>16253.220000000001</c:v>
                </c:pt>
                <c:pt idx="2">
                  <c:v>5000</c:v>
                </c:pt>
                <c:pt idx="3">
                  <c:v>2884</c:v>
                </c:pt>
              </c:numCache>
            </c:numRef>
          </c:val>
          <c:extLst>
            <c:ext xmlns:c15="http://schemas.microsoft.com/office/drawing/2012/chart" uri="{02D57815-91ED-43cb-92C2-25804820EDAC}">
              <c15:datalabelsRange>
                <c15:f>Grafy!$L$51:$L$54</c15:f>
                <c15:dlblRangeCache>
                  <c:ptCount val="4"/>
                  <c:pt idx="0">
                    <c:v>45%</c:v>
                  </c:pt>
                  <c:pt idx="1">
                    <c:v>37%</c:v>
                  </c:pt>
                  <c:pt idx="2">
                    <c:v>11%</c:v>
                  </c:pt>
                  <c:pt idx="3">
                    <c:v>7%</c:v>
                  </c:pt>
                </c15:dlblRangeCache>
              </c15:datalabelsRange>
            </c:ext>
            <c:ext xmlns:c16="http://schemas.microsoft.com/office/drawing/2014/chart" uri="{C3380CC4-5D6E-409C-BE32-E72D297353CC}">
              <c16:uniqueId val="{00000004-ACC3-4389-AF37-889C5549A4EF}"/>
            </c:ext>
          </c:extLst>
        </c:ser>
        <c:dLbls>
          <c:showLegendKey val="0"/>
          <c:showVal val="1"/>
          <c:showCatName val="0"/>
          <c:showSerName val="0"/>
          <c:showPercent val="0"/>
          <c:showBubbleSize val="0"/>
        </c:dLbls>
        <c:gapWidth val="150"/>
        <c:axId val="531222256"/>
        <c:axId val="531221928"/>
      </c:barChart>
      <c:lineChart>
        <c:grouping val="standard"/>
        <c:varyColors val="0"/>
        <c:ser>
          <c:idx val="1"/>
          <c:order val="1"/>
          <c:tx>
            <c:strRef>
              <c:f>Grafy!$L$50</c:f>
              <c:strCache>
                <c:ptCount val="1"/>
                <c:pt idx="0">
                  <c:v>percentuálne rozdelenie typov transakcií</c:v>
                </c:pt>
              </c:strCache>
            </c:strRef>
          </c:tx>
          <c:spPr>
            <a:ln w="28575" cap="rnd">
              <a:noFill/>
              <a:round/>
            </a:ln>
            <a:effectLst/>
          </c:spPr>
          <c:marker>
            <c:symbol val="none"/>
          </c:marker>
          <c:dLbls>
            <c:delete val="1"/>
          </c:dLbls>
          <c:cat>
            <c:strRef>
              <c:f>Grafy!$J$51:$J$54</c:f>
              <c:strCache>
                <c:ptCount val="4"/>
                <c:pt idx="0">
                  <c:v>nové zmluvy</c:v>
                </c:pt>
                <c:pt idx="1">
                  <c:v>prerokovania</c:v>
                </c:pt>
                <c:pt idx="2">
                  <c:v>predprenájmy</c:v>
                </c:pt>
                <c:pt idx="3">
                  <c:v>rozšírenie nájmov</c:v>
                </c:pt>
              </c:strCache>
            </c:strRef>
          </c:cat>
          <c:val>
            <c:numRef>
              <c:f>Grafy!$L$51:$L$54</c:f>
              <c:numCache>
                <c:formatCode>0%</c:formatCode>
                <c:ptCount val="4"/>
                <c:pt idx="0">
                  <c:v>0.44882451830528958</c:v>
                </c:pt>
                <c:pt idx="1">
                  <c:v>0.3711436678536344</c:v>
                </c:pt>
                <c:pt idx="2">
                  <c:v>0.11417542734720701</c:v>
                </c:pt>
                <c:pt idx="3">
                  <c:v>6.5856386493869004E-2</c:v>
                </c:pt>
              </c:numCache>
            </c:numRef>
          </c:val>
          <c:smooth val="0"/>
          <c:extLst>
            <c:ext xmlns:c16="http://schemas.microsoft.com/office/drawing/2014/chart" uri="{C3380CC4-5D6E-409C-BE32-E72D297353CC}">
              <c16:uniqueId val="{00000005-ACC3-4389-AF37-889C5549A4EF}"/>
            </c:ext>
          </c:extLst>
        </c:ser>
        <c:dLbls>
          <c:showLegendKey val="0"/>
          <c:showVal val="1"/>
          <c:showCatName val="0"/>
          <c:showSerName val="0"/>
          <c:showPercent val="0"/>
          <c:showBubbleSize val="0"/>
        </c:dLbls>
        <c:marker val="1"/>
        <c:smooth val="0"/>
        <c:axId val="707966584"/>
        <c:axId val="707968552"/>
      </c:lineChart>
      <c:catAx>
        <c:axId val="53122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crossAx val="531221928"/>
        <c:crosses val="autoZero"/>
        <c:auto val="1"/>
        <c:lblAlgn val="ctr"/>
        <c:lblOffset val="100"/>
        <c:noMultiLvlLbl val="0"/>
      </c:catAx>
      <c:valAx>
        <c:axId val="531221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sk-SK"/>
                  <a:t>m</a:t>
                </a:r>
                <a:r>
                  <a:rPr lang="sk-SK" baseline="30000"/>
                  <a:t>2</a:t>
                </a:r>
                <a:endParaRPr lang="sk-SK"/>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crossAx val="531222256"/>
        <c:crosses val="autoZero"/>
        <c:crossBetween val="between"/>
      </c:valAx>
      <c:valAx>
        <c:axId val="70796855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crossAx val="707966584"/>
        <c:crosses val="max"/>
        <c:crossBetween val="between"/>
      </c:valAx>
      <c:catAx>
        <c:axId val="707966584"/>
        <c:scaling>
          <c:orientation val="minMax"/>
        </c:scaling>
        <c:delete val="1"/>
        <c:axPos val="b"/>
        <c:numFmt formatCode="General" sourceLinked="1"/>
        <c:majorTickMark val="out"/>
        <c:minorTickMark val="none"/>
        <c:tickLblPos val="nextTo"/>
        <c:crossAx val="707968552"/>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200" b="0" i="0" u="none" strike="noStrike" kern="1200" spc="0" baseline="0">
                <a:solidFill>
                  <a:schemeClr val="tx1"/>
                </a:solidFill>
                <a:latin typeface="+mn-lt"/>
                <a:ea typeface="+mn-ea"/>
                <a:cs typeface="+mn-cs"/>
              </a:defRPr>
            </a:pPr>
            <a:r>
              <a:rPr lang="en-US"/>
              <a:t>Prenájom kancelárskych priestorov podľa sektorov (podiel na celkovej výmere)</a:t>
            </a:r>
          </a:p>
        </c:rich>
      </c:tx>
      <c:overlay val="0"/>
      <c:spPr>
        <a:noFill/>
        <a:ln>
          <a:noFill/>
        </a:ln>
        <a:effectLst/>
      </c:spPr>
      <c:txPr>
        <a:bodyPr rot="0" spcFirstLastPara="1" vertOverflow="ellipsis" vert="horz" wrap="square" anchor="ctr" anchorCtr="1"/>
        <a:lstStyle/>
        <a:p>
          <a:pPr>
            <a:defRPr lang="en-US" sz="1200" b="0" i="0" u="none" strike="noStrike" kern="1200" spc="0" baseline="0">
              <a:solidFill>
                <a:schemeClr val="tx1"/>
              </a:solidFill>
              <a:latin typeface="+mn-lt"/>
              <a:ea typeface="+mn-ea"/>
              <a:cs typeface="+mn-cs"/>
            </a:defRPr>
          </a:pPr>
          <a:endParaRPr lang="sk-SK"/>
        </a:p>
      </c:txPr>
    </c:title>
    <c:autoTitleDeleted val="0"/>
    <c:plotArea>
      <c:layout/>
      <c:barChart>
        <c:barDir val="bar"/>
        <c:grouping val="clustered"/>
        <c:varyColors val="0"/>
        <c:ser>
          <c:idx val="0"/>
          <c:order val="0"/>
          <c:tx>
            <c:strRef>
              <c:f>Grafy!$W$6</c:f>
              <c:strCache>
                <c:ptCount val="1"/>
                <c:pt idx="0">
                  <c:v>Sum of sq m</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Grafy!$V$7:$V$16</c:f>
              <c:strCache>
                <c:ptCount val="10"/>
                <c:pt idx="0">
                  <c:v>Farmaceutický sektor</c:v>
                </c:pt>
                <c:pt idx="1">
                  <c:v>Právne služby</c:v>
                </c:pt>
                <c:pt idx="2">
                  <c:v>IT</c:v>
                </c:pt>
                <c:pt idx="3">
                  <c:v>Médiá</c:v>
                </c:pt>
                <c:pt idx="4">
                  <c:v>Ostatné</c:v>
                </c:pt>
                <c:pt idx="5">
                  <c:v>Výrobný sektor</c:v>
                </c:pt>
                <c:pt idx="6">
                  <c:v>Financie</c:v>
                </c:pt>
                <c:pt idx="7">
                  <c:v>Verejný sektor a diplomacia</c:v>
                </c:pt>
                <c:pt idx="8">
                  <c:v>Spotrebný tovar</c:v>
                </c:pt>
                <c:pt idx="9">
                  <c:v>Profesionálne služby</c:v>
                </c:pt>
              </c:strCache>
            </c:strRef>
          </c:cat>
          <c:val>
            <c:numRef>
              <c:f>Grafy!$W$7:$W$16</c:f>
              <c:numCache>
                <c:formatCode>0.0%</c:formatCode>
                <c:ptCount val="10"/>
                <c:pt idx="0">
                  <c:v>3.3263323630743843E-2</c:v>
                </c:pt>
                <c:pt idx="1">
                  <c:v>3.4351233739447706E-2</c:v>
                </c:pt>
                <c:pt idx="2">
                  <c:v>4.8404011178312681E-2</c:v>
                </c:pt>
                <c:pt idx="3">
                  <c:v>4.9348125424851411E-2</c:v>
                </c:pt>
                <c:pt idx="4">
                  <c:v>5.3996072484734398E-2</c:v>
                </c:pt>
                <c:pt idx="5">
                  <c:v>6.7431544454708656E-2</c:v>
                </c:pt>
                <c:pt idx="6">
                  <c:v>9.2523196160795726E-2</c:v>
                </c:pt>
                <c:pt idx="7">
                  <c:v>0.17527844107855611</c:v>
                </c:pt>
                <c:pt idx="8">
                  <c:v>0.21424130979148145</c:v>
                </c:pt>
                <c:pt idx="9">
                  <c:v>0.23116274205636797</c:v>
                </c:pt>
              </c:numCache>
            </c:numRef>
          </c:val>
          <c:extLst>
            <c:ext xmlns:c16="http://schemas.microsoft.com/office/drawing/2014/chart" uri="{C3380CC4-5D6E-409C-BE32-E72D297353CC}">
              <c16:uniqueId val="{00000000-749E-44FE-B85F-E58163B9A6CC}"/>
            </c:ext>
          </c:extLst>
        </c:ser>
        <c:dLbls>
          <c:dLblPos val="outEnd"/>
          <c:showLegendKey val="0"/>
          <c:showVal val="1"/>
          <c:showCatName val="0"/>
          <c:showSerName val="0"/>
          <c:showPercent val="0"/>
          <c:showBubbleSize val="0"/>
        </c:dLbls>
        <c:gapWidth val="30"/>
        <c:axId val="823167064"/>
        <c:axId val="823167392"/>
      </c:barChart>
      <c:catAx>
        <c:axId val="823167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sk-SK"/>
          </a:p>
        </c:txPr>
        <c:crossAx val="823167392"/>
        <c:crosses val="autoZero"/>
        <c:auto val="1"/>
        <c:lblAlgn val="ctr"/>
        <c:lblOffset val="100"/>
        <c:noMultiLvlLbl val="0"/>
      </c:catAx>
      <c:valAx>
        <c:axId val="82316739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823167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400" b="0" i="0" baseline="0">
                <a:effectLst/>
              </a:rPr>
              <a:t>Neobsadenosť podľa rozdelenia BRF</a:t>
            </a:r>
            <a:endParaRPr lang="sk-SK"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Vysledky!$D$62</c:f>
              <c:strCache>
                <c:ptCount val="1"/>
                <c:pt idx="0">
                  <c:v>Sum of Vacancy rate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k-S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Vysledky!$A$63:$A$67</c:f>
              <c:strCache>
                <c:ptCount val="5"/>
                <c:pt idx="0">
                  <c:v>SB</c:v>
                </c:pt>
                <c:pt idx="1">
                  <c:v>CBD</c:v>
                </c:pt>
                <c:pt idx="2">
                  <c:v>OC</c:v>
                </c:pt>
                <c:pt idx="3">
                  <c:v>IC</c:v>
                </c:pt>
                <c:pt idx="4">
                  <c:v>CC</c:v>
                </c:pt>
              </c:strCache>
            </c:strRef>
          </c:cat>
          <c:val>
            <c:numRef>
              <c:f>Vysledky!$D$63:$D$67</c:f>
              <c:numCache>
                <c:formatCode>0.00%</c:formatCode>
                <c:ptCount val="5"/>
                <c:pt idx="0">
                  <c:v>0.16755545155609197</c:v>
                </c:pt>
                <c:pt idx="1">
                  <c:v>0.15456953717087824</c:v>
                </c:pt>
                <c:pt idx="2">
                  <c:v>0.13642836657918395</c:v>
                </c:pt>
                <c:pt idx="3">
                  <c:v>0.10209413386142899</c:v>
                </c:pt>
                <c:pt idx="4">
                  <c:v>6.5749619128372336E-2</c:v>
                </c:pt>
              </c:numCache>
            </c:numRef>
          </c:val>
          <c:extLst>
            <c:ext xmlns:c16="http://schemas.microsoft.com/office/drawing/2014/chart" uri="{C3380CC4-5D6E-409C-BE32-E72D297353CC}">
              <c16:uniqueId val="{00000000-E24A-4ACE-B76F-37AECD62B6C4}"/>
            </c:ext>
          </c:extLst>
        </c:ser>
        <c:dLbls>
          <c:dLblPos val="outEnd"/>
          <c:showLegendKey val="0"/>
          <c:showVal val="1"/>
          <c:showCatName val="0"/>
          <c:showSerName val="0"/>
          <c:showPercent val="0"/>
          <c:showBubbleSize val="0"/>
        </c:dLbls>
        <c:gapWidth val="90"/>
        <c:axId val="366359560"/>
        <c:axId val="366361856"/>
      </c:barChart>
      <c:catAx>
        <c:axId val="366359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66361856"/>
        <c:crosses val="autoZero"/>
        <c:auto val="1"/>
        <c:lblAlgn val="ctr"/>
        <c:lblOffset val="100"/>
        <c:noMultiLvlLbl val="0"/>
      </c:catAx>
      <c:valAx>
        <c:axId val="366361856"/>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66359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E963C-46F7-4B82-8A4C-BA888A1C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1049</Words>
  <Characters>5983</Characters>
  <Application>Microsoft Office Word</Application>
  <DocSecurity>0</DocSecurity>
  <Lines>49</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Q3 2019</vt:lpstr>
      <vt:lpstr>Q3 2019</vt:lpstr>
    </vt:vector>
  </TitlesOfParts>
  <Company>Colliers International, spol. s r.o.</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Q3 2019</dc:title>
  <dc:subject>Cushman&amp;Wakefield</dc:subject>
  <dc:creator>Bratislava Research Forum</dc:creator>
  <cp:keywords/>
  <dc:description/>
  <cp:lastModifiedBy>Martina Ciferska/SVK</cp:lastModifiedBy>
  <cp:revision>25</cp:revision>
  <cp:lastPrinted>2021-04-29T14:11:00Z</cp:lastPrinted>
  <dcterms:created xsi:type="dcterms:W3CDTF">2021-04-30T12:36:00Z</dcterms:created>
  <dcterms:modified xsi:type="dcterms:W3CDTF">2021-11-02T09:43:00Z</dcterms:modified>
</cp:coreProperties>
</file>